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BB6" w:rsidRPr="00337AB9" w:rsidRDefault="00083BB6" w:rsidP="00083BB6">
      <w:pPr>
        <w:spacing w:before="240" w:after="240"/>
        <w:jc w:val="center"/>
        <w:rPr>
          <w:rFonts w:ascii="Times New Roman" w:hAnsi="Times New Roman" w:cs="Times New Roman"/>
          <w:b/>
          <w:sz w:val="28"/>
        </w:rPr>
      </w:pPr>
      <w:r w:rsidRPr="00337AB9">
        <w:rPr>
          <w:rFonts w:ascii="Times New Roman" w:hAnsi="Times New Roman" w:cs="Times New Roman"/>
          <w:b/>
          <w:sz w:val="28"/>
        </w:rPr>
        <w:t>Rich County Sage-Grouse Field Report – June 2021</w:t>
      </w:r>
    </w:p>
    <w:p w:rsidR="00083BB6" w:rsidRDefault="00083BB6" w:rsidP="00083BB6">
      <w:pPr>
        <w:spacing w:before="240" w:after="240"/>
        <w:rPr>
          <w:rFonts w:ascii="Times New Roman" w:hAnsi="Times New Roman" w:cs="Times New Roman"/>
        </w:rPr>
      </w:pPr>
      <w:r w:rsidRPr="00337AB9">
        <w:rPr>
          <w:rFonts w:ascii="Times New Roman" w:hAnsi="Times New Roman" w:cs="Times New Roman"/>
        </w:rPr>
        <w:t>Codi Backen, Graduate Research Assistant (codibacken16@gmail.com; 402-305-6402)</w:t>
      </w:r>
      <w:r>
        <w:rPr>
          <w:rFonts w:ascii="Times New Roman" w:hAnsi="Times New Roman" w:cs="Times New Roman"/>
        </w:rPr>
        <w:t xml:space="preserve"> </w:t>
      </w:r>
      <w:r w:rsidRPr="00337AB9">
        <w:rPr>
          <w:rFonts w:ascii="Times New Roman" w:hAnsi="Times New Roman" w:cs="Times New Roman"/>
        </w:rPr>
        <w:t>and Terry Messmer (terry.messmer@usu.edu; 435-797-3975) Utah State University.</w:t>
      </w:r>
    </w:p>
    <w:p w:rsidR="00083BB6" w:rsidRPr="00337AB9" w:rsidRDefault="00083BB6" w:rsidP="00083BB6">
      <w:pPr>
        <w:spacing w:before="240" w:after="240"/>
        <w:rPr>
          <w:rFonts w:ascii="Times New Roman" w:hAnsi="Times New Roman" w:cs="Times New Roman"/>
          <w:b/>
          <w:u w:val="single"/>
        </w:rPr>
      </w:pPr>
      <w:r w:rsidRPr="00337AB9">
        <w:rPr>
          <w:rFonts w:ascii="Times New Roman" w:hAnsi="Times New Roman" w:cs="Times New Roman"/>
          <w:b/>
          <w:u w:val="single"/>
        </w:rPr>
        <w:t>Background and Purpose</w:t>
      </w:r>
    </w:p>
    <w:p w:rsidR="00083BB6" w:rsidRDefault="00083BB6" w:rsidP="00083BB6">
      <w:pPr>
        <w:spacing w:before="240" w:after="240"/>
        <w:rPr>
          <w:rFonts w:ascii="Times New Roman" w:hAnsi="Times New Roman" w:cs="Times New Roman"/>
        </w:rPr>
      </w:pPr>
      <w:r w:rsidRPr="00337AB9">
        <w:rPr>
          <w:rFonts w:ascii="Times New Roman" w:hAnsi="Times New Roman" w:cs="Times New Roman"/>
        </w:rPr>
        <w:t xml:space="preserve">This is the June </w:t>
      </w:r>
      <w:r>
        <w:rPr>
          <w:rFonts w:ascii="Times New Roman" w:hAnsi="Times New Roman" w:cs="Times New Roman"/>
        </w:rPr>
        <w:t>2022</w:t>
      </w:r>
      <w:r w:rsidRPr="00337AB9">
        <w:rPr>
          <w:rFonts w:ascii="Times New Roman" w:hAnsi="Times New Roman" w:cs="Times New Roman"/>
        </w:rPr>
        <w:t xml:space="preserve"> field </w:t>
      </w:r>
      <w:r w:rsidR="00287402">
        <w:rPr>
          <w:rFonts w:ascii="Times New Roman" w:hAnsi="Times New Roman" w:cs="Times New Roman"/>
        </w:rPr>
        <w:t xml:space="preserve">update </w:t>
      </w:r>
      <w:r w:rsidRPr="00337AB9">
        <w:rPr>
          <w:rFonts w:ascii="Times New Roman" w:hAnsi="Times New Roman" w:cs="Times New Roman"/>
        </w:rPr>
        <w:t>for the research project studying greater sage-grouse (</w:t>
      </w:r>
      <w:proofErr w:type="spellStart"/>
      <w:r w:rsidRPr="00337AB9">
        <w:rPr>
          <w:rFonts w:ascii="Times New Roman" w:hAnsi="Times New Roman" w:cs="Times New Roman"/>
          <w:i/>
        </w:rPr>
        <w:t>Centrocercus</w:t>
      </w:r>
      <w:proofErr w:type="spellEnd"/>
      <w:r w:rsidRPr="00337AB9">
        <w:rPr>
          <w:rFonts w:ascii="Times New Roman" w:hAnsi="Times New Roman" w:cs="Times New Roman"/>
          <w:i/>
        </w:rPr>
        <w:t xml:space="preserve"> </w:t>
      </w:r>
      <w:proofErr w:type="spellStart"/>
      <w:r w:rsidRPr="00337AB9">
        <w:rPr>
          <w:rFonts w:ascii="Times New Roman" w:hAnsi="Times New Roman" w:cs="Times New Roman"/>
          <w:i/>
        </w:rPr>
        <w:t>urophas</w:t>
      </w:r>
      <w:bookmarkStart w:id="0" w:name="_GoBack"/>
      <w:bookmarkEnd w:id="0"/>
      <w:r w:rsidRPr="00337AB9">
        <w:rPr>
          <w:rFonts w:ascii="Times New Roman" w:hAnsi="Times New Roman" w:cs="Times New Roman"/>
          <w:i/>
        </w:rPr>
        <w:t>ianus</w:t>
      </w:r>
      <w:proofErr w:type="spellEnd"/>
      <w:r w:rsidR="00287402">
        <w:rPr>
          <w:rFonts w:ascii="Times New Roman" w:hAnsi="Times New Roman" w:cs="Times New Roman"/>
        </w:rPr>
        <w:t>,</w:t>
      </w:r>
      <w:r w:rsidRPr="00337AB9">
        <w:rPr>
          <w:rFonts w:ascii="Times New Roman" w:hAnsi="Times New Roman" w:cs="Times New Roman"/>
        </w:rPr>
        <w:t xml:space="preserve"> sage-grouse) responses to livestock grazing in Rich County, Utah. </w:t>
      </w:r>
      <w:r w:rsidRPr="00083BB6">
        <w:rPr>
          <w:rFonts w:ascii="Times New Roman" w:hAnsi="Times New Roman" w:cs="Times New Roman"/>
        </w:rPr>
        <w:t>Our working hypothesis is that areas managed under rotational grazing practices provide better sage-grouse habitat throughout the brooding season and in turn translate into increased recruitment. To test this hypothesis, we are studying the seasonal movements, vital rates, habitat selection</w:t>
      </w:r>
      <w:r w:rsidR="00F35157">
        <w:rPr>
          <w:rFonts w:ascii="Times New Roman" w:hAnsi="Times New Roman" w:cs="Times New Roman"/>
        </w:rPr>
        <w:t>,</w:t>
      </w:r>
      <w:r w:rsidRPr="00083BB6">
        <w:rPr>
          <w:rFonts w:ascii="Times New Roman" w:hAnsi="Times New Roman" w:cs="Times New Roman"/>
        </w:rPr>
        <w:t xml:space="preserve"> and brood success of female sage-grouse marked with global positioning system backpack transmitters. We are also sampling vegetation from both grazed and un-grazed pastures across the study area to follow growth/regrowth in those pastures. </w:t>
      </w:r>
    </w:p>
    <w:p w:rsidR="00083BB6" w:rsidRDefault="00083BB6" w:rsidP="00083BB6">
      <w:pPr>
        <w:spacing w:before="240" w:after="240"/>
        <w:rPr>
          <w:rFonts w:ascii="Times New Roman" w:hAnsi="Times New Roman" w:cs="Times New Roman"/>
          <w:b/>
          <w:u w:val="single"/>
        </w:rPr>
      </w:pPr>
      <w:r w:rsidRPr="00083BB6">
        <w:rPr>
          <w:rFonts w:ascii="Times New Roman" w:hAnsi="Times New Roman" w:cs="Times New Roman"/>
        </w:rPr>
        <w:t xml:space="preserve">We are also recording changes in plant phenology using a Normalized Difference Vegetation Index (NDVI). The NDVI is a satellite-derived index of the photosynthetic biomass, or ‘greenness’, of an area. We will be using this data to track the green-up of the study area, and to look at how this rate changes between the different grazing methods </w:t>
      </w:r>
      <w:r w:rsidR="00F35157">
        <w:rPr>
          <w:rFonts w:ascii="Times New Roman" w:hAnsi="Times New Roman" w:cs="Times New Roman"/>
        </w:rPr>
        <w:t>in</w:t>
      </w:r>
      <w:r w:rsidRPr="00083BB6">
        <w:rPr>
          <w:rFonts w:ascii="Times New Roman" w:hAnsi="Times New Roman" w:cs="Times New Roman"/>
        </w:rPr>
        <w:t xml:space="preserve"> either study area, as well as within each area between grazed and rested pastures. Because livestock grazing has been implicated by some groups as one potential factor associated with the sage grouse population declines, this research seeks to uncover how grazing may affect sage-grouse habitats at multiple scales and in turn population vital rates.</w:t>
      </w:r>
      <w:r w:rsidRPr="00337AB9">
        <w:rPr>
          <w:rFonts w:ascii="Times New Roman" w:hAnsi="Times New Roman" w:cs="Times New Roman"/>
        </w:rPr>
        <w:t xml:space="preserve"> </w:t>
      </w:r>
    </w:p>
    <w:p w:rsidR="00083BB6" w:rsidRPr="00337AB9" w:rsidRDefault="00083BB6" w:rsidP="00083BB6">
      <w:pPr>
        <w:spacing w:before="240" w:after="240"/>
        <w:rPr>
          <w:rFonts w:ascii="Times New Roman" w:hAnsi="Times New Roman" w:cs="Times New Roman"/>
        </w:rPr>
      </w:pPr>
      <w:r>
        <w:rPr>
          <w:rFonts w:ascii="Times New Roman" w:hAnsi="Times New Roman" w:cs="Times New Roman"/>
          <w:b/>
          <w:u w:val="single"/>
        </w:rPr>
        <w:t>Study Area</w:t>
      </w:r>
    </w:p>
    <w:p w:rsidR="002036CD" w:rsidRDefault="00083BB6">
      <w:pPr>
        <w:rPr>
          <w:rFonts w:ascii="Times New Roman" w:hAnsi="Times New Roman" w:cs="Times New Roman"/>
        </w:rPr>
      </w:pPr>
      <w:r w:rsidRPr="00083BB6">
        <w:rPr>
          <w:rFonts w:ascii="Times New Roman" w:hAnsi="Times New Roman" w:cs="Times New Roman"/>
        </w:rPr>
        <w:t xml:space="preserve">The study is being completed in Rich County, located in northeastern Utah. This study area includes the southwestern portion of the Wyoming Basin Sage-grouse Management Zone II and is comprised of two research areas, Deseret Land and Livestock (DLL) and the Three Creeks Allotment (3C). </w:t>
      </w:r>
      <w:r w:rsidR="00287402">
        <w:rPr>
          <w:rFonts w:ascii="Times New Roman" w:hAnsi="Times New Roman" w:cs="Times New Roman"/>
        </w:rPr>
        <w:t xml:space="preserve">The </w:t>
      </w:r>
      <w:r w:rsidRPr="00083BB6">
        <w:rPr>
          <w:rFonts w:ascii="Times New Roman" w:hAnsi="Times New Roman" w:cs="Times New Roman"/>
        </w:rPr>
        <w:t xml:space="preserve">DLL is a </w:t>
      </w:r>
      <w:r w:rsidR="00F35157">
        <w:rPr>
          <w:rFonts w:ascii="Times New Roman" w:hAnsi="Times New Roman" w:cs="Times New Roman"/>
        </w:rPr>
        <w:t>200,000-acre</w:t>
      </w:r>
      <w:r w:rsidRPr="00083BB6">
        <w:rPr>
          <w:rFonts w:ascii="Times New Roman" w:hAnsi="Times New Roman" w:cs="Times New Roman"/>
        </w:rPr>
        <w:t xml:space="preserve"> privately owned ranch, of which 160,000 acres are privately owned and 40,000 acres are federal BLM land grazed under allotments. </w:t>
      </w:r>
      <w:r w:rsidR="00287402">
        <w:rPr>
          <w:rFonts w:ascii="Times New Roman" w:hAnsi="Times New Roman" w:cs="Times New Roman"/>
        </w:rPr>
        <w:t xml:space="preserve">The </w:t>
      </w:r>
      <w:r w:rsidRPr="00083BB6">
        <w:rPr>
          <w:rFonts w:ascii="Times New Roman" w:hAnsi="Times New Roman" w:cs="Times New Roman"/>
        </w:rPr>
        <w:t xml:space="preserve">DLL has maintained rotational prescribed grazing practices since 1979 as well as implemented </w:t>
      </w:r>
      <w:r w:rsidR="00F35157">
        <w:rPr>
          <w:rFonts w:ascii="Times New Roman" w:hAnsi="Times New Roman" w:cs="Times New Roman"/>
        </w:rPr>
        <w:t>sagebrush</w:t>
      </w:r>
      <w:r w:rsidRPr="00083BB6">
        <w:rPr>
          <w:rFonts w:ascii="Times New Roman" w:hAnsi="Times New Roman" w:cs="Times New Roman"/>
        </w:rPr>
        <w:t xml:space="preserve"> treatments throughout lower elevation pastures. </w:t>
      </w:r>
      <w:r w:rsidR="00287402">
        <w:rPr>
          <w:rFonts w:ascii="Times New Roman" w:hAnsi="Times New Roman" w:cs="Times New Roman"/>
        </w:rPr>
        <w:t xml:space="preserve">The </w:t>
      </w:r>
      <w:r w:rsidRPr="00083BB6">
        <w:rPr>
          <w:rFonts w:ascii="Times New Roman" w:hAnsi="Times New Roman" w:cs="Times New Roman"/>
        </w:rPr>
        <w:t xml:space="preserve">3C is a </w:t>
      </w:r>
      <w:r w:rsidR="00F35157">
        <w:rPr>
          <w:rFonts w:ascii="Times New Roman" w:hAnsi="Times New Roman" w:cs="Times New Roman"/>
        </w:rPr>
        <w:t>146,000-acre</w:t>
      </w:r>
      <w:r w:rsidRPr="00083BB6">
        <w:rPr>
          <w:rFonts w:ascii="Times New Roman" w:hAnsi="Times New Roman" w:cs="Times New Roman"/>
        </w:rPr>
        <w:t xml:space="preserve"> co</w:t>
      </w:r>
      <w:r w:rsidR="00287402">
        <w:rPr>
          <w:rFonts w:ascii="Times New Roman" w:hAnsi="Times New Roman" w:cs="Times New Roman"/>
        </w:rPr>
        <w:t>nsolidation</w:t>
      </w:r>
      <w:r w:rsidRPr="00083BB6">
        <w:rPr>
          <w:rFonts w:ascii="Times New Roman" w:hAnsi="Times New Roman" w:cs="Times New Roman"/>
        </w:rPr>
        <w:t xml:space="preserve"> of 29 individual BLM and USFS grazing allotments and private lands, </w:t>
      </w:r>
      <w:r w:rsidR="00F35157">
        <w:rPr>
          <w:rFonts w:ascii="Times New Roman" w:hAnsi="Times New Roman" w:cs="Times New Roman"/>
        </w:rPr>
        <w:t>that</w:t>
      </w:r>
      <w:r w:rsidRPr="00083BB6">
        <w:rPr>
          <w:rFonts w:ascii="Times New Roman" w:hAnsi="Times New Roman" w:cs="Times New Roman"/>
        </w:rPr>
        <w:t xml:space="preserve"> have begun to implement seasonal rotational grazing in the last few years.</w:t>
      </w:r>
    </w:p>
    <w:p w:rsidR="00083BB6" w:rsidRPr="00287402" w:rsidRDefault="00083BB6">
      <w:pPr>
        <w:rPr>
          <w:rFonts w:ascii="Times New Roman" w:hAnsi="Times New Roman" w:cs="Times New Roman"/>
          <w:b/>
          <w:sz w:val="24"/>
          <w:szCs w:val="24"/>
          <w:u w:val="single"/>
        </w:rPr>
      </w:pPr>
      <w:r w:rsidRPr="00287402">
        <w:rPr>
          <w:rFonts w:ascii="Times New Roman" w:hAnsi="Times New Roman" w:cs="Times New Roman"/>
          <w:b/>
          <w:sz w:val="24"/>
          <w:szCs w:val="24"/>
          <w:u w:val="single"/>
        </w:rPr>
        <w:t>Nesting and Brooding</w:t>
      </w:r>
    </w:p>
    <w:p w:rsidR="00083BB6" w:rsidRPr="00287402" w:rsidRDefault="00287402">
      <w:pPr>
        <w:rPr>
          <w:rFonts w:ascii="Times New Roman" w:hAnsi="Times New Roman" w:cs="Times New Roman"/>
          <w:sz w:val="24"/>
          <w:szCs w:val="24"/>
        </w:rPr>
      </w:pPr>
      <w:r w:rsidRPr="00287402">
        <w:rPr>
          <w:rFonts w:ascii="Times New Roman" w:hAnsi="Times New Roman" w:cs="Times New Roman"/>
          <w:sz w:val="24"/>
          <w:szCs w:val="24"/>
        </w:rPr>
        <w:t xml:space="preserve">We documented 16 nests </w:t>
      </w:r>
      <w:r w:rsidR="00083BB6" w:rsidRPr="00287402">
        <w:rPr>
          <w:rFonts w:ascii="Times New Roman" w:hAnsi="Times New Roman" w:cs="Times New Roman"/>
          <w:sz w:val="24"/>
          <w:szCs w:val="24"/>
        </w:rPr>
        <w:t xml:space="preserve">this </w:t>
      </w:r>
      <w:r>
        <w:rPr>
          <w:rFonts w:ascii="Times New Roman" w:hAnsi="Times New Roman" w:cs="Times New Roman"/>
          <w:sz w:val="24"/>
          <w:szCs w:val="24"/>
        </w:rPr>
        <w:t xml:space="preserve">nesting </w:t>
      </w:r>
      <w:r w:rsidR="00083BB6" w:rsidRPr="00287402">
        <w:rPr>
          <w:rFonts w:ascii="Times New Roman" w:hAnsi="Times New Roman" w:cs="Times New Roman"/>
          <w:sz w:val="24"/>
          <w:szCs w:val="24"/>
        </w:rPr>
        <w:t>season. On DL</w:t>
      </w:r>
      <w:r>
        <w:rPr>
          <w:rFonts w:ascii="Times New Roman" w:hAnsi="Times New Roman" w:cs="Times New Roman"/>
          <w:sz w:val="24"/>
          <w:szCs w:val="24"/>
        </w:rPr>
        <w:t xml:space="preserve">L </w:t>
      </w:r>
      <w:r w:rsidR="00083BB6" w:rsidRPr="00287402">
        <w:rPr>
          <w:rFonts w:ascii="Times New Roman" w:hAnsi="Times New Roman" w:cs="Times New Roman"/>
          <w:sz w:val="24"/>
          <w:szCs w:val="24"/>
        </w:rPr>
        <w:t xml:space="preserve">8 </w:t>
      </w:r>
      <w:r>
        <w:rPr>
          <w:rFonts w:ascii="Times New Roman" w:hAnsi="Times New Roman" w:cs="Times New Roman"/>
          <w:sz w:val="24"/>
          <w:szCs w:val="24"/>
        </w:rPr>
        <w:t xml:space="preserve">radio-marked </w:t>
      </w:r>
      <w:r w:rsidR="00F35157">
        <w:rPr>
          <w:rFonts w:ascii="Times New Roman" w:hAnsi="Times New Roman" w:cs="Times New Roman"/>
          <w:sz w:val="24"/>
          <w:szCs w:val="24"/>
        </w:rPr>
        <w:t>females-initiated</w:t>
      </w:r>
      <w:r w:rsidR="002A739A">
        <w:rPr>
          <w:rFonts w:ascii="Times New Roman" w:hAnsi="Times New Roman" w:cs="Times New Roman"/>
          <w:sz w:val="24"/>
          <w:szCs w:val="24"/>
        </w:rPr>
        <w:t xml:space="preserve"> nests</w:t>
      </w:r>
      <w:r w:rsidR="00083BB6" w:rsidRPr="00287402">
        <w:rPr>
          <w:rFonts w:ascii="Times New Roman" w:hAnsi="Times New Roman" w:cs="Times New Roman"/>
          <w:sz w:val="24"/>
          <w:szCs w:val="24"/>
        </w:rPr>
        <w:t>; six were depredated and two hatched successfully. One female sage-grouse re-nested after her first nest was predated. The two successful nests have broods,</w:t>
      </w:r>
      <w:r w:rsidR="00AE494E" w:rsidRPr="00287402">
        <w:rPr>
          <w:rFonts w:ascii="Times New Roman" w:hAnsi="Times New Roman" w:cs="Times New Roman"/>
          <w:sz w:val="24"/>
          <w:szCs w:val="24"/>
        </w:rPr>
        <w:t xml:space="preserve"> and</w:t>
      </w:r>
      <w:r w:rsidR="00083BB6" w:rsidRPr="00287402">
        <w:rPr>
          <w:rFonts w:ascii="Times New Roman" w:hAnsi="Times New Roman" w:cs="Times New Roman"/>
          <w:sz w:val="24"/>
          <w:szCs w:val="24"/>
        </w:rPr>
        <w:t xml:space="preserve"> we are tracking their movements and </w:t>
      </w:r>
      <w:r>
        <w:rPr>
          <w:rFonts w:ascii="Times New Roman" w:hAnsi="Times New Roman" w:cs="Times New Roman"/>
          <w:sz w:val="24"/>
          <w:szCs w:val="24"/>
        </w:rPr>
        <w:t xml:space="preserve">will </w:t>
      </w:r>
      <w:r w:rsidR="00083BB6" w:rsidRPr="00287402">
        <w:rPr>
          <w:rFonts w:ascii="Times New Roman" w:hAnsi="Times New Roman" w:cs="Times New Roman"/>
          <w:sz w:val="24"/>
          <w:szCs w:val="24"/>
        </w:rPr>
        <w:t>have their 50</w:t>
      </w:r>
      <w:r>
        <w:rPr>
          <w:rFonts w:ascii="Times New Roman" w:hAnsi="Times New Roman" w:cs="Times New Roman"/>
          <w:sz w:val="24"/>
          <w:szCs w:val="24"/>
        </w:rPr>
        <w:t>-</w:t>
      </w:r>
      <w:r w:rsidR="00083BB6" w:rsidRPr="00287402">
        <w:rPr>
          <w:rFonts w:ascii="Times New Roman" w:hAnsi="Times New Roman" w:cs="Times New Roman"/>
          <w:sz w:val="24"/>
          <w:szCs w:val="24"/>
        </w:rPr>
        <w:t>day brood check the week of July 18</w:t>
      </w:r>
      <w:r>
        <w:rPr>
          <w:rFonts w:ascii="Times New Roman" w:hAnsi="Times New Roman" w:cs="Times New Roman"/>
          <w:sz w:val="24"/>
          <w:szCs w:val="24"/>
        </w:rPr>
        <w:t>, 2022</w:t>
      </w:r>
      <w:r w:rsidR="002A739A">
        <w:rPr>
          <w:rFonts w:ascii="Times New Roman" w:hAnsi="Times New Roman" w:cs="Times New Roman"/>
          <w:sz w:val="24"/>
          <w:szCs w:val="24"/>
        </w:rPr>
        <w:t xml:space="preserve"> (Table 1)</w:t>
      </w:r>
      <w:r>
        <w:rPr>
          <w:rFonts w:ascii="Times New Roman" w:hAnsi="Times New Roman" w:cs="Times New Roman"/>
          <w:sz w:val="24"/>
          <w:szCs w:val="24"/>
        </w:rPr>
        <w:t>.</w:t>
      </w:r>
      <w:r w:rsidR="00083BB6" w:rsidRPr="00287402">
        <w:rPr>
          <w:rFonts w:ascii="Times New Roman" w:hAnsi="Times New Roman" w:cs="Times New Roman"/>
          <w:sz w:val="24"/>
          <w:szCs w:val="24"/>
        </w:rPr>
        <w:t xml:space="preserve"> </w:t>
      </w:r>
    </w:p>
    <w:p w:rsidR="00AE494E" w:rsidRPr="00287402" w:rsidRDefault="00083BB6">
      <w:pPr>
        <w:rPr>
          <w:rFonts w:ascii="Times New Roman" w:hAnsi="Times New Roman" w:cs="Times New Roman"/>
          <w:sz w:val="24"/>
          <w:szCs w:val="24"/>
        </w:rPr>
      </w:pPr>
      <w:r w:rsidRPr="00287402">
        <w:rPr>
          <w:rFonts w:ascii="Times New Roman" w:hAnsi="Times New Roman" w:cs="Times New Roman"/>
          <w:sz w:val="24"/>
          <w:szCs w:val="24"/>
        </w:rPr>
        <w:t xml:space="preserve">On the </w:t>
      </w:r>
      <w:r w:rsidR="002A739A">
        <w:rPr>
          <w:rFonts w:ascii="Times New Roman" w:hAnsi="Times New Roman" w:cs="Times New Roman"/>
          <w:sz w:val="24"/>
          <w:szCs w:val="24"/>
        </w:rPr>
        <w:t>3</w:t>
      </w:r>
      <w:r w:rsidRPr="00287402">
        <w:rPr>
          <w:rFonts w:ascii="Times New Roman" w:hAnsi="Times New Roman" w:cs="Times New Roman"/>
          <w:sz w:val="24"/>
          <w:szCs w:val="24"/>
        </w:rPr>
        <w:t xml:space="preserve">C study area, seven </w:t>
      </w:r>
      <w:r w:rsidR="002A739A">
        <w:rPr>
          <w:rFonts w:ascii="Times New Roman" w:hAnsi="Times New Roman" w:cs="Times New Roman"/>
          <w:sz w:val="24"/>
          <w:szCs w:val="24"/>
        </w:rPr>
        <w:t xml:space="preserve">radio-marked </w:t>
      </w:r>
      <w:r w:rsidR="00F35157">
        <w:rPr>
          <w:rFonts w:ascii="Times New Roman" w:hAnsi="Times New Roman" w:cs="Times New Roman"/>
          <w:sz w:val="24"/>
          <w:szCs w:val="24"/>
        </w:rPr>
        <w:t>females-initiated</w:t>
      </w:r>
      <w:r w:rsidR="002A739A">
        <w:rPr>
          <w:rFonts w:ascii="Times New Roman" w:hAnsi="Times New Roman" w:cs="Times New Roman"/>
          <w:sz w:val="24"/>
          <w:szCs w:val="24"/>
        </w:rPr>
        <w:t xml:space="preserve"> nests;</w:t>
      </w:r>
      <w:r w:rsidRPr="00287402">
        <w:rPr>
          <w:rFonts w:ascii="Times New Roman" w:hAnsi="Times New Roman" w:cs="Times New Roman"/>
          <w:sz w:val="24"/>
          <w:szCs w:val="24"/>
        </w:rPr>
        <w:t xml:space="preserve"> three were predated and the remaining four hatched successfully. Three of the broods have failed, with one remaining brood being monitored</w:t>
      </w:r>
      <w:r w:rsidR="00AE494E" w:rsidRPr="00287402">
        <w:rPr>
          <w:rFonts w:ascii="Times New Roman" w:hAnsi="Times New Roman" w:cs="Times New Roman"/>
          <w:sz w:val="24"/>
          <w:szCs w:val="24"/>
        </w:rPr>
        <w:t>.</w:t>
      </w:r>
      <w:r w:rsidR="00287402">
        <w:rPr>
          <w:rFonts w:ascii="Times New Roman" w:hAnsi="Times New Roman" w:cs="Times New Roman"/>
          <w:sz w:val="24"/>
          <w:szCs w:val="24"/>
        </w:rPr>
        <w:t xml:space="preserve"> </w:t>
      </w:r>
      <w:r w:rsidR="00AE494E" w:rsidRPr="00287402">
        <w:rPr>
          <w:rFonts w:ascii="Times New Roman" w:hAnsi="Times New Roman" w:cs="Times New Roman"/>
          <w:sz w:val="24"/>
          <w:szCs w:val="24"/>
        </w:rPr>
        <w:t xml:space="preserve"> </w:t>
      </w:r>
      <w:r w:rsidR="00287402">
        <w:rPr>
          <w:rFonts w:ascii="Times New Roman" w:hAnsi="Times New Roman" w:cs="Times New Roman"/>
          <w:sz w:val="24"/>
          <w:szCs w:val="24"/>
        </w:rPr>
        <w:t xml:space="preserve">Females with </w:t>
      </w:r>
      <w:r w:rsidR="00AE494E" w:rsidRPr="00287402">
        <w:rPr>
          <w:rFonts w:ascii="Times New Roman" w:hAnsi="Times New Roman" w:cs="Times New Roman"/>
          <w:sz w:val="24"/>
          <w:szCs w:val="24"/>
        </w:rPr>
        <w:t xml:space="preserve">nests/broods failed did not make any </w:t>
      </w:r>
      <w:r w:rsidR="00287402">
        <w:rPr>
          <w:rFonts w:ascii="Times New Roman" w:hAnsi="Times New Roman" w:cs="Times New Roman"/>
          <w:sz w:val="24"/>
          <w:szCs w:val="24"/>
        </w:rPr>
        <w:t>re-</w:t>
      </w:r>
      <w:r w:rsidR="00AE494E" w:rsidRPr="00287402">
        <w:rPr>
          <w:rFonts w:ascii="Times New Roman" w:hAnsi="Times New Roman" w:cs="Times New Roman"/>
          <w:sz w:val="24"/>
          <w:szCs w:val="24"/>
        </w:rPr>
        <w:t>nesting attempts</w:t>
      </w:r>
      <w:r w:rsidR="00287402">
        <w:rPr>
          <w:rFonts w:ascii="Times New Roman" w:hAnsi="Times New Roman" w:cs="Times New Roman"/>
          <w:sz w:val="24"/>
          <w:szCs w:val="24"/>
        </w:rPr>
        <w:t>.</w:t>
      </w:r>
    </w:p>
    <w:p w:rsidR="00AE494E" w:rsidRPr="002A739A" w:rsidRDefault="00AE494E" w:rsidP="00AE494E">
      <w:pPr>
        <w:spacing w:before="240" w:after="240"/>
        <w:rPr>
          <w:rFonts w:ascii="Times New Roman" w:hAnsi="Times New Roman" w:cs="Times New Roman"/>
          <w:sz w:val="24"/>
          <w:szCs w:val="24"/>
        </w:rPr>
      </w:pPr>
      <w:r w:rsidRPr="002A739A">
        <w:rPr>
          <w:rFonts w:ascii="Times New Roman" w:hAnsi="Times New Roman" w:cs="Times New Roman"/>
          <w:sz w:val="24"/>
          <w:szCs w:val="24"/>
        </w:rPr>
        <w:t xml:space="preserve">Table 1. </w:t>
      </w:r>
      <w:r w:rsidR="00287402" w:rsidRPr="002A739A">
        <w:rPr>
          <w:rFonts w:ascii="Times New Roman" w:hAnsi="Times New Roman" w:cs="Times New Roman"/>
          <w:sz w:val="24"/>
          <w:szCs w:val="24"/>
        </w:rPr>
        <w:t xml:space="preserve">Greater sage-grouse 2021 </w:t>
      </w:r>
      <w:r w:rsidRPr="002A739A">
        <w:rPr>
          <w:rFonts w:ascii="Times New Roman" w:hAnsi="Times New Roman" w:cs="Times New Roman"/>
          <w:sz w:val="24"/>
          <w:szCs w:val="24"/>
        </w:rPr>
        <w:t xml:space="preserve">nesting and brooding percentages across the </w:t>
      </w:r>
      <w:r w:rsidR="00287402" w:rsidRPr="002A739A">
        <w:rPr>
          <w:rFonts w:ascii="Times New Roman" w:hAnsi="Times New Roman" w:cs="Times New Roman"/>
          <w:sz w:val="24"/>
          <w:szCs w:val="24"/>
        </w:rPr>
        <w:t>Rich County, Utah study area.</w:t>
      </w:r>
    </w:p>
    <w:p w:rsidR="00AE494E" w:rsidRPr="00083BB6" w:rsidRDefault="00AE494E"/>
    <w:tbl>
      <w:tblPr>
        <w:tblStyle w:val="TableGrid"/>
        <w:tblpPr w:leftFromText="180" w:rightFromText="180" w:vertAnchor="text" w:horzAnchor="margin" w:tblpXSpec="center" w:tblpY="-57"/>
        <w:tblW w:w="10975" w:type="dxa"/>
        <w:tblLook w:val="04A0" w:firstRow="1" w:lastRow="0" w:firstColumn="1" w:lastColumn="0" w:noHBand="0" w:noVBand="1"/>
      </w:tblPr>
      <w:tblGrid>
        <w:gridCol w:w="1255"/>
        <w:gridCol w:w="1530"/>
        <w:gridCol w:w="1440"/>
        <w:gridCol w:w="1530"/>
        <w:gridCol w:w="1530"/>
        <w:gridCol w:w="1710"/>
        <w:gridCol w:w="1980"/>
      </w:tblGrid>
      <w:tr w:rsidR="00AE494E" w:rsidRPr="00337AB9" w:rsidTr="00AE494E">
        <w:trPr>
          <w:trHeight w:val="527"/>
        </w:trPr>
        <w:tc>
          <w:tcPr>
            <w:tcW w:w="1255" w:type="dxa"/>
          </w:tcPr>
          <w:p w:rsidR="00AE494E" w:rsidRPr="00337AB9" w:rsidRDefault="00AE494E" w:rsidP="008A36BE">
            <w:pPr>
              <w:rPr>
                <w:rFonts w:ascii="Times New Roman" w:hAnsi="Times New Roman" w:cs="Times New Roman"/>
                <w:b/>
              </w:rPr>
            </w:pPr>
            <w:r w:rsidRPr="00337AB9">
              <w:rPr>
                <w:rFonts w:ascii="Times New Roman" w:hAnsi="Times New Roman" w:cs="Times New Roman"/>
                <w:b/>
              </w:rPr>
              <w:t xml:space="preserve">Table 1. </w:t>
            </w:r>
          </w:p>
        </w:tc>
        <w:tc>
          <w:tcPr>
            <w:tcW w:w="1530" w:type="dxa"/>
          </w:tcPr>
          <w:p w:rsidR="00AE494E" w:rsidRPr="00337AB9" w:rsidRDefault="00AE494E" w:rsidP="008A36BE">
            <w:pPr>
              <w:rPr>
                <w:rFonts w:ascii="Times New Roman" w:hAnsi="Times New Roman" w:cs="Times New Roman"/>
              </w:rPr>
            </w:pPr>
            <w:r w:rsidRPr="00337AB9">
              <w:rPr>
                <w:rFonts w:ascii="Times New Roman" w:hAnsi="Times New Roman" w:cs="Times New Roman"/>
              </w:rPr>
              <w:t>Nests Initiated</w:t>
            </w:r>
          </w:p>
        </w:tc>
        <w:tc>
          <w:tcPr>
            <w:tcW w:w="1440" w:type="dxa"/>
          </w:tcPr>
          <w:p w:rsidR="00AE494E" w:rsidRPr="00337AB9" w:rsidRDefault="00AE494E" w:rsidP="008A36BE">
            <w:pPr>
              <w:jc w:val="center"/>
              <w:rPr>
                <w:rFonts w:ascii="Times New Roman" w:hAnsi="Times New Roman" w:cs="Times New Roman"/>
              </w:rPr>
            </w:pPr>
            <w:r w:rsidRPr="00337AB9">
              <w:rPr>
                <w:rFonts w:ascii="Times New Roman" w:hAnsi="Times New Roman" w:cs="Times New Roman"/>
              </w:rPr>
              <w:t>Nesting Rate</w:t>
            </w:r>
          </w:p>
        </w:tc>
        <w:tc>
          <w:tcPr>
            <w:tcW w:w="1530" w:type="dxa"/>
          </w:tcPr>
          <w:p w:rsidR="00AE494E" w:rsidRPr="00337AB9" w:rsidRDefault="00AE494E" w:rsidP="008A36BE">
            <w:pPr>
              <w:jc w:val="center"/>
              <w:rPr>
                <w:rFonts w:ascii="Times New Roman" w:hAnsi="Times New Roman" w:cs="Times New Roman"/>
              </w:rPr>
            </w:pPr>
            <w:r w:rsidRPr="00337AB9">
              <w:rPr>
                <w:rFonts w:ascii="Times New Roman" w:hAnsi="Times New Roman" w:cs="Times New Roman"/>
              </w:rPr>
              <w:t>Nests Hatched</w:t>
            </w:r>
            <w:r>
              <w:rPr>
                <w:rFonts w:ascii="Times New Roman" w:hAnsi="Times New Roman" w:cs="Times New Roman"/>
              </w:rPr>
              <w:t xml:space="preserve"> </w:t>
            </w:r>
          </w:p>
        </w:tc>
        <w:tc>
          <w:tcPr>
            <w:tcW w:w="1530" w:type="dxa"/>
          </w:tcPr>
          <w:p w:rsidR="00AE494E" w:rsidRPr="00337AB9" w:rsidRDefault="00AE494E" w:rsidP="008A36BE">
            <w:pPr>
              <w:jc w:val="center"/>
              <w:rPr>
                <w:rFonts w:ascii="Times New Roman" w:hAnsi="Times New Roman" w:cs="Times New Roman"/>
              </w:rPr>
            </w:pPr>
            <w:r w:rsidRPr="00337AB9">
              <w:rPr>
                <w:rFonts w:ascii="Times New Roman" w:hAnsi="Times New Roman" w:cs="Times New Roman"/>
              </w:rPr>
              <w:t>Hatching Rate</w:t>
            </w:r>
            <w:r>
              <w:rPr>
                <w:rFonts w:ascii="Times New Roman" w:hAnsi="Times New Roman" w:cs="Times New Roman"/>
              </w:rPr>
              <w:t xml:space="preserve"> </w:t>
            </w:r>
          </w:p>
        </w:tc>
        <w:tc>
          <w:tcPr>
            <w:tcW w:w="1710" w:type="dxa"/>
          </w:tcPr>
          <w:p w:rsidR="00AE494E" w:rsidRPr="00337AB9" w:rsidRDefault="00AE494E" w:rsidP="008A36BE">
            <w:pPr>
              <w:jc w:val="center"/>
              <w:rPr>
                <w:rFonts w:ascii="Times New Roman" w:hAnsi="Times New Roman" w:cs="Times New Roman"/>
              </w:rPr>
            </w:pPr>
            <w:r w:rsidRPr="00337AB9">
              <w:rPr>
                <w:rFonts w:ascii="Times New Roman" w:hAnsi="Times New Roman" w:cs="Times New Roman"/>
              </w:rPr>
              <w:t xml:space="preserve">Number Broods </w:t>
            </w:r>
            <w:r>
              <w:rPr>
                <w:rFonts w:ascii="Times New Roman" w:hAnsi="Times New Roman" w:cs="Times New Roman"/>
              </w:rPr>
              <w:t>as of 6/27</w:t>
            </w:r>
          </w:p>
        </w:tc>
        <w:tc>
          <w:tcPr>
            <w:tcW w:w="1980" w:type="dxa"/>
          </w:tcPr>
          <w:p w:rsidR="00AE494E" w:rsidRPr="00337AB9" w:rsidRDefault="00AE494E" w:rsidP="008A36BE">
            <w:pPr>
              <w:jc w:val="center"/>
              <w:rPr>
                <w:rFonts w:ascii="Times New Roman" w:hAnsi="Times New Roman" w:cs="Times New Roman"/>
              </w:rPr>
            </w:pPr>
            <w:r>
              <w:rPr>
                <w:rFonts w:ascii="Times New Roman" w:hAnsi="Times New Roman" w:cs="Times New Roman"/>
              </w:rPr>
              <w:t>Brood Survival Rate for May</w:t>
            </w:r>
          </w:p>
        </w:tc>
      </w:tr>
      <w:tr w:rsidR="00AE494E" w:rsidRPr="00337AB9" w:rsidTr="00AE494E">
        <w:trPr>
          <w:trHeight w:val="208"/>
        </w:trPr>
        <w:tc>
          <w:tcPr>
            <w:tcW w:w="1255" w:type="dxa"/>
            <w:shd w:val="clear" w:color="auto" w:fill="D9D9D9" w:themeFill="background1" w:themeFillShade="D9"/>
          </w:tcPr>
          <w:p w:rsidR="00AE494E" w:rsidRPr="00337AB9" w:rsidRDefault="00AE494E" w:rsidP="008A36BE">
            <w:pPr>
              <w:rPr>
                <w:rFonts w:ascii="Times New Roman" w:hAnsi="Times New Roman" w:cs="Times New Roman"/>
              </w:rPr>
            </w:pPr>
            <w:r w:rsidRPr="00337AB9">
              <w:rPr>
                <w:rFonts w:ascii="Times New Roman" w:hAnsi="Times New Roman" w:cs="Times New Roman"/>
              </w:rPr>
              <w:t>DLL</w:t>
            </w:r>
          </w:p>
        </w:tc>
        <w:tc>
          <w:tcPr>
            <w:tcW w:w="1530" w:type="dxa"/>
            <w:shd w:val="clear" w:color="auto" w:fill="D9D9D9" w:themeFill="background1" w:themeFillShade="D9"/>
          </w:tcPr>
          <w:p w:rsidR="00AE494E" w:rsidRPr="00337AB9" w:rsidRDefault="00AE494E" w:rsidP="008A36BE">
            <w:pPr>
              <w:rPr>
                <w:rFonts w:ascii="Times New Roman" w:hAnsi="Times New Roman" w:cs="Times New Roman"/>
              </w:rPr>
            </w:pPr>
            <w:r>
              <w:rPr>
                <w:rFonts w:ascii="Times New Roman" w:hAnsi="Times New Roman" w:cs="Times New Roman"/>
              </w:rPr>
              <w:t>8</w:t>
            </w:r>
          </w:p>
        </w:tc>
        <w:tc>
          <w:tcPr>
            <w:tcW w:w="1440" w:type="dxa"/>
            <w:shd w:val="clear" w:color="auto" w:fill="D9D9D9" w:themeFill="background1" w:themeFillShade="D9"/>
          </w:tcPr>
          <w:p w:rsidR="00AE494E" w:rsidRPr="00337AB9" w:rsidRDefault="00AE494E" w:rsidP="008A36BE">
            <w:pPr>
              <w:tabs>
                <w:tab w:val="left" w:pos="924"/>
              </w:tabs>
              <w:rPr>
                <w:rFonts w:ascii="Times New Roman" w:hAnsi="Times New Roman" w:cs="Times New Roman"/>
              </w:rPr>
            </w:pPr>
            <w:r>
              <w:rPr>
                <w:rFonts w:ascii="Times New Roman" w:hAnsi="Times New Roman" w:cs="Times New Roman"/>
              </w:rPr>
              <w:t>57.1</w:t>
            </w:r>
            <w:r w:rsidRPr="00337AB9">
              <w:rPr>
                <w:rFonts w:ascii="Times New Roman" w:hAnsi="Times New Roman" w:cs="Times New Roman"/>
              </w:rPr>
              <w:t>%</w:t>
            </w:r>
          </w:p>
        </w:tc>
        <w:tc>
          <w:tcPr>
            <w:tcW w:w="1530" w:type="dxa"/>
            <w:shd w:val="clear" w:color="auto" w:fill="D9D9D9" w:themeFill="background1" w:themeFillShade="D9"/>
          </w:tcPr>
          <w:p w:rsidR="00AE494E" w:rsidRPr="00337AB9" w:rsidRDefault="00AE494E" w:rsidP="008A36BE">
            <w:pPr>
              <w:rPr>
                <w:rFonts w:ascii="Times New Roman" w:hAnsi="Times New Roman" w:cs="Times New Roman"/>
              </w:rPr>
            </w:pPr>
            <w:r>
              <w:rPr>
                <w:rFonts w:ascii="Times New Roman" w:hAnsi="Times New Roman" w:cs="Times New Roman"/>
              </w:rPr>
              <w:t>2</w:t>
            </w:r>
          </w:p>
        </w:tc>
        <w:tc>
          <w:tcPr>
            <w:tcW w:w="1530" w:type="dxa"/>
            <w:shd w:val="clear" w:color="auto" w:fill="D9D9D9" w:themeFill="background1" w:themeFillShade="D9"/>
          </w:tcPr>
          <w:p w:rsidR="00AE494E" w:rsidRPr="00337AB9" w:rsidRDefault="00AE494E" w:rsidP="008A36BE">
            <w:pPr>
              <w:tabs>
                <w:tab w:val="left" w:pos="1152"/>
              </w:tabs>
              <w:rPr>
                <w:rFonts w:ascii="Times New Roman" w:hAnsi="Times New Roman" w:cs="Times New Roman"/>
              </w:rPr>
            </w:pPr>
            <w:r>
              <w:rPr>
                <w:rFonts w:ascii="Times New Roman" w:hAnsi="Times New Roman" w:cs="Times New Roman"/>
              </w:rPr>
              <w:t>25%</w:t>
            </w:r>
          </w:p>
        </w:tc>
        <w:tc>
          <w:tcPr>
            <w:tcW w:w="1710" w:type="dxa"/>
            <w:shd w:val="clear" w:color="auto" w:fill="D9D9D9" w:themeFill="background1" w:themeFillShade="D9"/>
          </w:tcPr>
          <w:p w:rsidR="00AE494E" w:rsidRPr="00337AB9" w:rsidRDefault="00AE494E" w:rsidP="008A36BE">
            <w:pPr>
              <w:rPr>
                <w:rFonts w:ascii="Times New Roman" w:hAnsi="Times New Roman" w:cs="Times New Roman"/>
              </w:rPr>
            </w:pPr>
            <w:r>
              <w:rPr>
                <w:rFonts w:ascii="Times New Roman" w:hAnsi="Times New Roman" w:cs="Times New Roman"/>
              </w:rPr>
              <w:t>2</w:t>
            </w:r>
          </w:p>
        </w:tc>
        <w:tc>
          <w:tcPr>
            <w:tcW w:w="1980" w:type="dxa"/>
            <w:shd w:val="clear" w:color="auto" w:fill="D9D9D9" w:themeFill="background1" w:themeFillShade="D9"/>
          </w:tcPr>
          <w:p w:rsidR="00AE494E" w:rsidRDefault="00AE494E" w:rsidP="008A36BE">
            <w:pPr>
              <w:rPr>
                <w:rFonts w:ascii="Times New Roman" w:hAnsi="Times New Roman" w:cs="Times New Roman"/>
              </w:rPr>
            </w:pPr>
            <w:r>
              <w:rPr>
                <w:rFonts w:ascii="Times New Roman" w:hAnsi="Times New Roman" w:cs="Times New Roman"/>
              </w:rPr>
              <w:t>100%</w:t>
            </w:r>
          </w:p>
        </w:tc>
      </w:tr>
      <w:tr w:rsidR="00AE494E" w:rsidRPr="00337AB9" w:rsidTr="00AE494E">
        <w:trPr>
          <w:trHeight w:val="208"/>
        </w:trPr>
        <w:tc>
          <w:tcPr>
            <w:tcW w:w="1255" w:type="dxa"/>
          </w:tcPr>
          <w:p w:rsidR="00AE494E" w:rsidRPr="00337AB9" w:rsidRDefault="00AE494E" w:rsidP="008A36BE">
            <w:pPr>
              <w:rPr>
                <w:rFonts w:ascii="Times New Roman" w:hAnsi="Times New Roman" w:cs="Times New Roman"/>
              </w:rPr>
            </w:pPr>
            <w:r w:rsidRPr="00337AB9">
              <w:rPr>
                <w:rFonts w:ascii="Times New Roman" w:hAnsi="Times New Roman" w:cs="Times New Roman"/>
              </w:rPr>
              <w:t>3C</w:t>
            </w:r>
          </w:p>
        </w:tc>
        <w:tc>
          <w:tcPr>
            <w:tcW w:w="1530" w:type="dxa"/>
          </w:tcPr>
          <w:p w:rsidR="00AE494E" w:rsidRPr="00337AB9" w:rsidRDefault="00AE494E" w:rsidP="008A36BE">
            <w:pPr>
              <w:rPr>
                <w:rFonts w:ascii="Times New Roman" w:hAnsi="Times New Roman" w:cs="Times New Roman"/>
              </w:rPr>
            </w:pPr>
            <w:r>
              <w:rPr>
                <w:rFonts w:ascii="Times New Roman" w:hAnsi="Times New Roman" w:cs="Times New Roman"/>
              </w:rPr>
              <w:t>7</w:t>
            </w:r>
          </w:p>
        </w:tc>
        <w:tc>
          <w:tcPr>
            <w:tcW w:w="1440" w:type="dxa"/>
          </w:tcPr>
          <w:p w:rsidR="00AE494E" w:rsidRPr="00337AB9" w:rsidRDefault="00AE494E" w:rsidP="008A36BE">
            <w:pPr>
              <w:rPr>
                <w:rFonts w:ascii="Times New Roman" w:hAnsi="Times New Roman" w:cs="Times New Roman"/>
              </w:rPr>
            </w:pPr>
            <w:r>
              <w:rPr>
                <w:rFonts w:ascii="Times New Roman" w:hAnsi="Times New Roman" w:cs="Times New Roman"/>
              </w:rPr>
              <w:t>50</w:t>
            </w:r>
            <w:r w:rsidRPr="00337AB9">
              <w:rPr>
                <w:rFonts w:ascii="Times New Roman" w:hAnsi="Times New Roman" w:cs="Times New Roman"/>
              </w:rPr>
              <w:t>%</w:t>
            </w:r>
          </w:p>
        </w:tc>
        <w:tc>
          <w:tcPr>
            <w:tcW w:w="1530" w:type="dxa"/>
          </w:tcPr>
          <w:p w:rsidR="00AE494E" w:rsidRPr="00337AB9" w:rsidRDefault="00AE494E" w:rsidP="008A36BE">
            <w:pPr>
              <w:rPr>
                <w:rFonts w:ascii="Times New Roman" w:hAnsi="Times New Roman" w:cs="Times New Roman"/>
              </w:rPr>
            </w:pPr>
            <w:r>
              <w:rPr>
                <w:rFonts w:ascii="Times New Roman" w:hAnsi="Times New Roman" w:cs="Times New Roman"/>
              </w:rPr>
              <w:t>4</w:t>
            </w:r>
          </w:p>
        </w:tc>
        <w:tc>
          <w:tcPr>
            <w:tcW w:w="1530" w:type="dxa"/>
          </w:tcPr>
          <w:p w:rsidR="00AE494E" w:rsidRPr="00337AB9" w:rsidRDefault="00AE494E" w:rsidP="008A36BE">
            <w:pPr>
              <w:rPr>
                <w:rFonts w:ascii="Times New Roman" w:hAnsi="Times New Roman" w:cs="Times New Roman"/>
              </w:rPr>
            </w:pPr>
            <w:r>
              <w:rPr>
                <w:rFonts w:ascii="Times New Roman" w:hAnsi="Times New Roman" w:cs="Times New Roman"/>
              </w:rPr>
              <w:t>57</w:t>
            </w:r>
            <w:r w:rsidRPr="00337AB9">
              <w:rPr>
                <w:rFonts w:ascii="Times New Roman" w:hAnsi="Times New Roman" w:cs="Times New Roman"/>
              </w:rPr>
              <w:t>%</w:t>
            </w:r>
          </w:p>
        </w:tc>
        <w:tc>
          <w:tcPr>
            <w:tcW w:w="1710" w:type="dxa"/>
          </w:tcPr>
          <w:p w:rsidR="00AE494E" w:rsidRPr="00337AB9" w:rsidRDefault="00AE494E" w:rsidP="008A36BE">
            <w:pPr>
              <w:rPr>
                <w:rFonts w:ascii="Times New Roman" w:hAnsi="Times New Roman" w:cs="Times New Roman"/>
              </w:rPr>
            </w:pPr>
            <w:r>
              <w:rPr>
                <w:rFonts w:ascii="Times New Roman" w:hAnsi="Times New Roman" w:cs="Times New Roman"/>
              </w:rPr>
              <w:t>1</w:t>
            </w:r>
          </w:p>
        </w:tc>
        <w:tc>
          <w:tcPr>
            <w:tcW w:w="1980" w:type="dxa"/>
          </w:tcPr>
          <w:p w:rsidR="00AE494E" w:rsidRDefault="00AE494E" w:rsidP="008A36BE">
            <w:pPr>
              <w:rPr>
                <w:rFonts w:ascii="Times New Roman" w:hAnsi="Times New Roman" w:cs="Times New Roman"/>
              </w:rPr>
            </w:pPr>
            <w:r>
              <w:rPr>
                <w:rFonts w:ascii="Times New Roman" w:hAnsi="Times New Roman" w:cs="Times New Roman"/>
              </w:rPr>
              <w:t>25%</w:t>
            </w:r>
          </w:p>
        </w:tc>
      </w:tr>
      <w:tr w:rsidR="00AE494E" w:rsidRPr="00337AB9" w:rsidTr="00AE494E">
        <w:trPr>
          <w:trHeight w:val="208"/>
        </w:trPr>
        <w:tc>
          <w:tcPr>
            <w:tcW w:w="1255" w:type="dxa"/>
            <w:shd w:val="clear" w:color="auto" w:fill="D9D9D9" w:themeFill="background1" w:themeFillShade="D9"/>
          </w:tcPr>
          <w:p w:rsidR="00AE494E" w:rsidRPr="00337AB9" w:rsidRDefault="00AE494E" w:rsidP="008A36BE">
            <w:pPr>
              <w:rPr>
                <w:rFonts w:ascii="Times New Roman" w:hAnsi="Times New Roman" w:cs="Times New Roman"/>
              </w:rPr>
            </w:pPr>
            <w:r w:rsidRPr="00337AB9">
              <w:rPr>
                <w:rFonts w:ascii="Times New Roman" w:hAnsi="Times New Roman" w:cs="Times New Roman"/>
              </w:rPr>
              <w:t>Off Site</w:t>
            </w:r>
          </w:p>
        </w:tc>
        <w:tc>
          <w:tcPr>
            <w:tcW w:w="1530" w:type="dxa"/>
            <w:shd w:val="clear" w:color="auto" w:fill="D9D9D9" w:themeFill="background1" w:themeFillShade="D9"/>
          </w:tcPr>
          <w:p w:rsidR="00AE494E" w:rsidRPr="00337AB9" w:rsidRDefault="00AE494E" w:rsidP="008A36BE">
            <w:pPr>
              <w:rPr>
                <w:rFonts w:ascii="Times New Roman" w:hAnsi="Times New Roman" w:cs="Times New Roman"/>
              </w:rPr>
            </w:pPr>
            <w:r>
              <w:rPr>
                <w:rFonts w:ascii="Times New Roman" w:hAnsi="Times New Roman" w:cs="Times New Roman"/>
              </w:rPr>
              <w:t>1</w:t>
            </w:r>
          </w:p>
        </w:tc>
        <w:tc>
          <w:tcPr>
            <w:tcW w:w="1440" w:type="dxa"/>
            <w:shd w:val="clear" w:color="auto" w:fill="D9D9D9" w:themeFill="background1" w:themeFillShade="D9"/>
          </w:tcPr>
          <w:p w:rsidR="00AE494E" w:rsidRPr="00337AB9" w:rsidRDefault="00AE494E" w:rsidP="008A36BE">
            <w:pPr>
              <w:rPr>
                <w:rFonts w:ascii="Times New Roman" w:hAnsi="Times New Roman" w:cs="Times New Roman"/>
              </w:rPr>
            </w:pPr>
            <w:r w:rsidRPr="00337AB9">
              <w:rPr>
                <w:rFonts w:ascii="Times New Roman" w:hAnsi="Times New Roman" w:cs="Times New Roman"/>
              </w:rPr>
              <w:t>--</w:t>
            </w:r>
          </w:p>
        </w:tc>
        <w:tc>
          <w:tcPr>
            <w:tcW w:w="1530" w:type="dxa"/>
            <w:shd w:val="clear" w:color="auto" w:fill="D9D9D9" w:themeFill="background1" w:themeFillShade="D9"/>
          </w:tcPr>
          <w:p w:rsidR="00AE494E" w:rsidRPr="00337AB9" w:rsidRDefault="00AE494E" w:rsidP="008A36BE">
            <w:pPr>
              <w:rPr>
                <w:rFonts w:ascii="Times New Roman" w:hAnsi="Times New Roman" w:cs="Times New Roman"/>
              </w:rPr>
            </w:pPr>
            <w:r>
              <w:rPr>
                <w:rFonts w:ascii="Times New Roman" w:hAnsi="Times New Roman" w:cs="Times New Roman"/>
              </w:rPr>
              <w:t>0</w:t>
            </w:r>
          </w:p>
        </w:tc>
        <w:tc>
          <w:tcPr>
            <w:tcW w:w="1530" w:type="dxa"/>
            <w:shd w:val="clear" w:color="auto" w:fill="D9D9D9" w:themeFill="background1" w:themeFillShade="D9"/>
          </w:tcPr>
          <w:p w:rsidR="00AE494E" w:rsidRPr="00337AB9" w:rsidRDefault="00AE494E" w:rsidP="008A36BE">
            <w:pPr>
              <w:rPr>
                <w:rFonts w:ascii="Times New Roman" w:hAnsi="Times New Roman" w:cs="Times New Roman"/>
              </w:rPr>
            </w:pPr>
            <w:r>
              <w:rPr>
                <w:rFonts w:ascii="Times New Roman" w:hAnsi="Times New Roman" w:cs="Times New Roman"/>
              </w:rPr>
              <w:t>0</w:t>
            </w:r>
            <w:r w:rsidRPr="00337AB9">
              <w:rPr>
                <w:rFonts w:ascii="Times New Roman" w:hAnsi="Times New Roman" w:cs="Times New Roman"/>
              </w:rPr>
              <w:t>%</w:t>
            </w:r>
          </w:p>
        </w:tc>
        <w:tc>
          <w:tcPr>
            <w:tcW w:w="1710" w:type="dxa"/>
            <w:shd w:val="clear" w:color="auto" w:fill="D9D9D9" w:themeFill="background1" w:themeFillShade="D9"/>
          </w:tcPr>
          <w:p w:rsidR="00AE494E" w:rsidRPr="00337AB9" w:rsidRDefault="00AE494E" w:rsidP="008A36BE">
            <w:pPr>
              <w:rPr>
                <w:rFonts w:ascii="Times New Roman" w:hAnsi="Times New Roman" w:cs="Times New Roman"/>
              </w:rPr>
            </w:pPr>
            <w:r>
              <w:rPr>
                <w:rFonts w:ascii="Times New Roman" w:hAnsi="Times New Roman" w:cs="Times New Roman"/>
              </w:rPr>
              <w:t>0</w:t>
            </w:r>
          </w:p>
        </w:tc>
        <w:tc>
          <w:tcPr>
            <w:tcW w:w="1980" w:type="dxa"/>
            <w:shd w:val="clear" w:color="auto" w:fill="D9D9D9" w:themeFill="background1" w:themeFillShade="D9"/>
          </w:tcPr>
          <w:p w:rsidR="00AE494E" w:rsidRDefault="00AE494E" w:rsidP="008A36BE">
            <w:pPr>
              <w:rPr>
                <w:rFonts w:ascii="Times New Roman" w:hAnsi="Times New Roman" w:cs="Times New Roman"/>
              </w:rPr>
            </w:pPr>
            <w:r>
              <w:rPr>
                <w:rFonts w:ascii="Times New Roman" w:hAnsi="Times New Roman" w:cs="Times New Roman"/>
              </w:rPr>
              <w:t>--</w:t>
            </w:r>
          </w:p>
        </w:tc>
      </w:tr>
      <w:tr w:rsidR="00AE494E" w:rsidRPr="00337AB9" w:rsidTr="00AE494E">
        <w:trPr>
          <w:trHeight w:val="199"/>
        </w:trPr>
        <w:tc>
          <w:tcPr>
            <w:tcW w:w="1255" w:type="dxa"/>
          </w:tcPr>
          <w:p w:rsidR="00AE494E" w:rsidRPr="00337AB9" w:rsidRDefault="00AE494E" w:rsidP="008A36BE">
            <w:pPr>
              <w:rPr>
                <w:rFonts w:ascii="Times New Roman" w:hAnsi="Times New Roman" w:cs="Times New Roman"/>
              </w:rPr>
            </w:pPr>
            <w:r w:rsidRPr="00337AB9">
              <w:rPr>
                <w:rFonts w:ascii="Times New Roman" w:hAnsi="Times New Roman" w:cs="Times New Roman"/>
              </w:rPr>
              <w:t>Total</w:t>
            </w:r>
          </w:p>
        </w:tc>
        <w:tc>
          <w:tcPr>
            <w:tcW w:w="1530" w:type="dxa"/>
          </w:tcPr>
          <w:p w:rsidR="00AE494E" w:rsidRPr="00337AB9" w:rsidRDefault="00AE494E" w:rsidP="008A36BE">
            <w:pPr>
              <w:rPr>
                <w:rFonts w:ascii="Times New Roman" w:hAnsi="Times New Roman" w:cs="Times New Roman"/>
              </w:rPr>
            </w:pPr>
            <w:r>
              <w:rPr>
                <w:rFonts w:ascii="Times New Roman" w:hAnsi="Times New Roman" w:cs="Times New Roman"/>
              </w:rPr>
              <w:t>16</w:t>
            </w:r>
          </w:p>
        </w:tc>
        <w:tc>
          <w:tcPr>
            <w:tcW w:w="1440" w:type="dxa"/>
          </w:tcPr>
          <w:p w:rsidR="00AE494E" w:rsidRPr="00337AB9" w:rsidRDefault="00AE494E" w:rsidP="008A36BE">
            <w:pPr>
              <w:rPr>
                <w:rFonts w:ascii="Times New Roman" w:hAnsi="Times New Roman" w:cs="Times New Roman"/>
              </w:rPr>
            </w:pPr>
            <w:r>
              <w:rPr>
                <w:rFonts w:ascii="Times New Roman" w:hAnsi="Times New Roman" w:cs="Times New Roman"/>
              </w:rPr>
              <w:t>53.3</w:t>
            </w:r>
            <w:r w:rsidRPr="00337AB9">
              <w:rPr>
                <w:rFonts w:ascii="Times New Roman" w:hAnsi="Times New Roman" w:cs="Times New Roman"/>
              </w:rPr>
              <w:t>%</w:t>
            </w:r>
          </w:p>
        </w:tc>
        <w:tc>
          <w:tcPr>
            <w:tcW w:w="1530" w:type="dxa"/>
          </w:tcPr>
          <w:p w:rsidR="00AE494E" w:rsidRPr="00337AB9" w:rsidRDefault="00AE494E" w:rsidP="008A36BE">
            <w:pPr>
              <w:rPr>
                <w:rFonts w:ascii="Times New Roman" w:hAnsi="Times New Roman" w:cs="Times New Roman"/>
              </w:rPr>
            </w:pPr>
            <w:r>
              <w:rPr>
                <w:rFonts w:ascii="Times New Roman" w:hAnsi="Times New Roman" w:cs="Times New Roman"/>
              </w:rPr>
              <w:t>6</w:t>
            </w:r>
          </w:p>
        </w:tc>
        <w:tc>
          <w:tcPr>
            <w:tcW w:w="1530" w:type="dxa"/>
          </w:tcPr>
          <w:p w:rsidR="00AE494E" w:rsidRPr="00337AB9" w:rsidRDefault="00AE494E" w:rsidP="008A36BE">
            <w:pPr>
              <w:rPr>
                <w:rFonts w:ascii="Times New Roman" w:hAnsi="Times New Roman" w:cs="Times New Roman"/>
              </w:rPr>
            </w:pPr>
            <w:r>
              <w:rPr>
                <w:rFonts w:ascii="Times New Roman" w:hAnsi="Times New Roman" w:cs="Times New Roman"/>
              </w:rPr>
              <w:t>38</w:t>
            </w:r>
            <w:r w:rsidRPr="00337AB9">
              <w:rPr>
                <w:rFonts w:ascii="Times New Roman" w:hAnsi="Times New Roman" w:cs="Times New Roman"/>
              </w:rPr>
              <w:t>%</w:t>
            </w:r>
          </w:p>
        </w:tc>
        <w:tc>
          <w:tcPr>
            <w:tcW w:w="1710" w:type="dxa"/>
          </w:tcPr>
          <w:p w:rsidR="00AE494E" w:rsidRPr="00337AB9" w:rsidRDefault="00AE494E" w:rsidP="008A36BE">
            <w:pPr>
              <w:rPr>
                <w:rFonts w:ascii="Times New Roman" w:hAnsi="Times New Roman" w:cs="Times New Roman"/>
              </w:rPr>
            </w:pPr>
            <w:r>
              <w:rPr>
                <w:rFonts w:ascii="Times New Roman" w:hAnsi="Times New Roman" w:cs="Times New Roman"/>
              </w:rPr>
              <w:t>3</w:t>
            </w:r>
          </w:p>
        </w:tc>
        <w:tc>
          <w:tcPr>
            <w:tcW w:w="1980" w:type="dxa"/>
          </w:tcPr>
          <w:p w:rsidR="00AE494E" w:rsidRDefault="00AE494E" w:rsidP="008A36BE">
            <w:pPr>
              <w:rPr>
                <w:rFonts w:ascii="Times New Roman" w:hAnsi="Times New Roman" w:cs="Times New Roman"/>
              </w:rPr>
            </w:pPr>
            <w:r>
              <w:rPr>
                <w:rFonts w:ascii="Times New Roman" w:hAnsi="Times New Roman" w:cs="Times New Roman"/>
              </w:rPr>
              <w:t>50%</w:t>
            </w:r>
          </w:p>
        </w:tc>
      </w:tr>
    </w:tbl>
    <w:p w:rsidR="00AE494E" w:rsidRDefault="00AE494E">
      <w:pPr>
        <w:rPr>
          <w:b/>
          <w:u w:val="single"/>
        </w:rPr>
      </w:pPr>
    </w:p>
    <w:p w:rsidR="00182178" w:rsidRDefault="00B47A81">
      <w:pPr>
        <w:rPr>
          <w:b/>
          <w:u w:val="single"/>
        </w:rPr>
      </w:pPr>
      <w:r>
        <w:rPr>
          <w:noProof/>
        </w:rPr>
        <w:drawing>
          <wp:inline distT="0" distB="0" distL="0" distR="0">
            <wp:extent cx="5943600" cy="397902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79027"/>
                    </a:xfrm>
                    <a:prstGeom prst="rect">
                      <a:avLst/>
                    </a:prstGeom>
                    <a:noFill/>
                    <a:ln>
                      <a:noFill/>
                    </a:ln>
                  </pic:spPr>
                </pic:pic>
              </a:graphicData>
            </a:graphic>
          </wp:inline>
        </w:drawing>
      </w:r>
    </w:p>
    <w:p w:rsidR="008B62EB" w:rsidRPr="002A739A" w:rsidRDefault="00182178" w:rsidP="00182178">
      <w:pPr>
        <w:tabs>
          <w:tab w:val="left" w:pos="4116"/>
        </w:tabs>
        <w:rPr>
          <w:rFonts w:ascii="Times New Roman" w:hAnsi="Times New Roman" w:cs="Times New Roman"/>
        </w:rPr>
      </w:pPr>
      <w:r w:rsidRPr="002A739A">
        <w:rPr>
          <w:rFonts w:ascii="Times New Roman" w:hAnsi="Times New Roman" w:cs="Times New Roman"/>
        </w:rPr>
        <w:t xml:space="preserve">Figure 1. Female sage-grouse on DLL. This hen hatched nine chicks. </w:t>
      </w:r>
    </w:p>
    <w:sectPr w:rsidR="008B62EB" w:rsidRPr="002A7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B6"/>
    <w:rsid w:val="00083BB6"/>
    <w:rsid w:val="000F6729"/>
    <w:rsid w:val="00182178"/>
    <w:rsid w:val="002036CD"/>
    <w:rsid w:val="00287402"/>
    <w:rsid w:val="002A739A"/>
    <w:rsid w:val="008B62EB"/>
    <w:rsid w:val="00AE494E"/>
    <w:rsid w:val="00B47A81"/>
    <w:rsid w:val="00E422F5"/>
    <w:rsid w:val="00E535CD"/>
    <w:rsid w:val="00F3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EE2A"/>
  <w15:chartTrackingRefBased/>
  <w15:docId w15:val="{ACF03B0D-5EBC-419D-8C4E-00997316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4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 Backen</dc:creator>
  <cp:keywords/>
  <dc:description/>
  <cp:lastModifiedBy>Angie Jensen</cp:lastModifiedBy>
  <cp:revision>2</cp:revision>
  <dcterms:created xsi:type="dcterms:W3CDTF">2022-06-30T19:22:00Z</dcterms:created>
  <dcterms:modified xsi:type="dcterms:W3CDTF">2022-06-30T19:22:00Z</dcterms:modified>
</cp:coreProperties>
</file>