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382D" w14:textId="2293A9A9" w:rsidR="004076AD" w:rsidRDefault="004076AD" w:rsidP="004076AD">
      <w:pPr>
        <w:spacing w:after="0"/>
        <w:ind w:leftChars="0" w:left="3" w:hanging="3"/>
        <w:rPr>
          <w:rFonts w:ascii="Tw Cen MT Condensed Extra Bold" w:eastAsia="Times New Roman" w:hAnsi="Tw Cen MT Condensed Extra Bold" w:cs="Times New Roman"/>
          <w:color w:val="262626"/>
          <w:sz w:val="32"/>
          <w:szCs w:val="32"/>
        </w:rPr>
      </w:pPr>
      <w:r>
        <w:rPr>
          <w:rFonts w:ascii="Tw Cen MT Condensed Extra Bold" w:eastAsia="Times New Roman" w:hAnsi="Tw Cen MT Condensed Extra Bold" w:cs="Times New Roman"/>
          <w:color w:val="262626"/>
          <w:sz w:val="32"/>
          <w:szCs w:val="32"/>
        </w:rPr>
        <w:t>PROPOSAL TITLE</w:t>
      </w:r>
    </w:p>
    <w:p w14:paraId="72CBCB19" w14:textId="6192A192" w:rsidR="004076AD" w:rsidRDefault="004076AD" w:rsidP="004076AD">
      <w:pPr>
        <w:spacing w:after="0"/>
        <w:ind w:leftChars="0" w:left="2" w:hanging="2"/>
        <w:rPr>
          <w:rFonts w:ascii="Calibri" w:hAnsi="Calibri"/>
          <w:sz w:val="24"/>
          <w:szCs w:val="24"/>
        </w:rPr>
      </w:pPr>
      <w:r w:rsidRPr="004076AD">
        <w:rPr>
          <w:rFonts w:ascii="Calibri" w:hAnsi="Calibri"/>
          <w:sz w:val="24"/>
          <w:szCs w:val="24"/>
        </w:rPr>
        <w:t>Rural Gentrification and the Spillover Effect: Integrated Transportation, Housing, and Land Use Challenges and Strategies in Gateway Communities</w:t>
      </w:r>
    </w:p>
    <w:p w14:paraId="5F7CE5D3" w14:textId="1A7EDF94" w:rsidR="004076AD" w:rsidRDefault="004076AD" w:rsidP="004076AD">
      <w:pPr>
        <w:spacing w:after="0"/>
        <w:ind w:leftChars="0" w:left="0" w:firstLineChars="0" w:firstLine="0"/>
        <w:rPr>
          <w:rFonts w:ascii="Calibri" w:hAnsi="Calibri"/>
          <w:sz w:val="24"/>
          <w:szCs w:val="24"/>
        </w:rPr>
      </w:pPr>
    </w:p>
    <w:p w14:paraId="7CFAB51B" w14:textId="58DA1FCA" w:rsidR="004076AD" w:rsidRPr="004076AD" w:rsidRDefault="004076AD" w:rsidP="004076AD">
      <w:pPr>
        <w:spacing w:after="0"/>
        <w:ind w:leftChars="0" w:left="3" w:hanging="3"/>
        <w:rPr>
          <w:rFonts w:ascii="Tw Cen MT Condensed Extra Bold" w:eastAsia="Times New Roman" w:hAnsi="Tw Cen MT Condensed Extra Bold" w:cs="Times New Roman"/>
          <w:color w:val="262626"/>
          <w:sz w:val="32"/>
          <w:szCs w:val="32"/>
        </w:rPr>
      </w:pPr>
      <w:r>
        <w:rPr>
          <w:rFonts w:ascii="Tw Cen MT Condensed Extra Bold" w:eastAsia="Times New Roman" w:hAnsi="Tw Cen MT Condensed Extra Bold" w:cs="Times New Roman"/>
          <w:color w:val="262626"/>
          <w:sz w:val="32"/>
          <w:szCs w:val="32"/>
        </w:rPr>
        <w:t>PRINCIPAL INVESTIGATORS</w:t>
      </w:r>
    </w:p>
    <w:p w14:paraId="68511456" w14:textId="00F338F6" w:rsidR="004076AD" w:rsidRDefault="004076AD" w:rsidP="004076AD">
      <w:pPr>
        <w:spacing w:after="0"/>
        <w:ind w:leftChars="0" w:left="2" w:hanging="2"/>
        <w:rPr>
          <w:rFonts w:ascii="Calibri" w:hAnsi="Calibri"/>
          <w:sz w:val="24"/>
          <w:szCs w:val="24"/>
        </w:rPr>
      </w:pPr>
      <w:r>
        <w:rPr>
          <w:rFonts w:ascii="Calibri" w:hAnsi="Calibri"/>
          <w:sz w:val="24"/>
          <w:szCs w:val="24"/>
        </w:rPr>
        <w:t>PI: Danya Rumore, University of Utah</w:t>
      </w:r>
    </w:p>
    <w:p w14:paraId="6C1E022B" w14:textId="1DFB5667" w:rsidR="004076AD" w:rsidRDefault="004076AD" w:rsidP="004076AD">
      <w:pPr>
        <w:spacing w:after="0"/>
        <w:ind w:leftChars="0" w:left="2" w:hanging="2"/>
        <w:rPr>
          <w:rFonts w:ascii="Calibri" w:hAnsi="Calibri"/>
          <w:sz w:val="24"/>
          <w:szCs w:val="24"/>
        </w:rPr>
      </w:pPr>
      <w:r>
        <w:rPr>
          <w:rFonts w:ascii="Calibri" w:hAnsi="Calibri"/>
          <w:sz w:val="24"/>
          <w:szCs w:val="24"/>
        </w:rPr>
        <w:t>Co-PI: Philip Stoker, University of Arizona</w:t>
      </w:r>
    </w:p>
    <w:p w14:paraId="7E268AAE" w14:textId="77777777" w:rsidR="004076AD" w:rsidRPr="004076AD" w:rsidRDefault="004076AD" w:rsidP="004076AD">
      <w:pPr>
        <w:spacing w:after="0"/>
        <w:ind w:leftChars="0" w:left="2" w:hanging="2"/>
        <w:rPr>
          <w:rFonts w:ascii="Calibri" w:hAnsi="Calibri"/>
          <w:sz w:val="24"/>
          <w:szCs w:val="24"/>
        </w:rPr>
      </w:pPr>
    </w:p>
    <w:p w14:paraId="2F272C17" w14:textId="4194FFB0" w:rsidR="004076AD" w:rsidRDefault="004076AD" w:rsidP="004076AD">
      <w:pPr>
        <w:pStyle w:val="Heading1"/>
        <w:spacing w:before="0"/>
        <w:ind w:leftChars="0" w:left="3" w:firstLineChars="0" w:firstLine="0"/>
      </w:pPr>
      <w:r>
        <w:t>FUNDING OPPORTINITY:</w:t>
      </w:r>
    </w:p>
    <w:p w14:paraId="0C21E133" w14:textId="50F2BECC" w:rsidR="004076AD" w:rsidRPr="004076AD" w:rsidRDefault="004076AD" w:rsidP="004076AD">
      <w:pPr>
        <w:ind w:left="0" w:hanging="2"/>
      </w:pPr>
      <w:r>
        <w:rPr>
          <w:rFonts w:ascii="Calibri" w:hAnsi="Calibri"/>
          <w:sz w:val="24"/>
          <w:szCs w:val="24"/>
        </w:rPr>
        <w:t xml:space="preserve">National Institute of Transportation and Communities (NITC) </w:t>
      </w:r>
      <w:hyperlink r:id="rId8" w:history="1">
        <w:r w:rsidRPr="004076AD">
          <w:rPr>
            <w:rStyle w:val="Hyperlink"/>
            <w:rFonts w:ascii="Calibri" w:hAnsi="Calibri"/>
            <w:sz w:val="24"/>
            <w:szCs w:val="24"/>
          </w:rPr>
          <w:t>General Research Grant</w:t>
        </w:r>
      </w:hyperlink>
    </w:p>
    <w:p w14:paraId="23E7E4A1" w14:textId="6E759021" w:rsidR="008020AB" w:rsidRDefault="005F6EC4" w:rsidP="004076AD">
      <w:pPr>
        <w:pStyle w:val="Heading1"/>
        <w:spacing w:before="0"/>
        <w:ind w:leftChars="0" w:left="3" w:firstLineChars="0" w:firstLine="0"/>
      </w:pPr>
      <w:r>
        <w:t xml:space="preserve">ABSTRACT  </w:t>
      </w:r>
    </w:p>
    <w:p w14:paraId="319B8869" w14:textId="2E6EFC5E" w:rsidR="004664D7" w:rsidRPr="0027202C" w:rsidRDefault="004664D7" w:rsidP="004664D7">
      <w:pPr>
        <w:spacing w:line="240" w:lineRule="auto"/>
        <w:ind w:leftChars="0" w:left="0" w:firstLineChars="0" w:hanging="2"/>
        <w:jc w:val="both"/>
        <w:rPr>
          <w:rFonts w:ascii="Calibri" w:hAnsi="Calibri" w:cs="Calibri"/>
          <w:sz w:val="22"/>
          <w:szCs w:val="22"/>
        </w:rPr>
      </w:pPr>
      <w:r w:rsidRPr="0027202C">
        <w:rPr>
          <w:rFonts w:ascii="Calibri" w:hAnsi="Calibri" w:cs="Calibri"/>
          <w:sz w:val="22"/>
          <w:szCs w:val="22"/>
        </w:rPr>
        <w:t>Small towns and cities near national parks, public lands, and other natural amenities throughout the west are experiencing rapid growth and increased visitation. These “gateway communities” comprise a significant portion of the rural west, constituting about 31% of all communities in the U.S. Mountain West and more than 60% of those under 25,000 people. Our prior NITC-funded research shows that growth and increased tourism create a range of “big city challenges” for gateway communities, particularly a significant increase in housing prices, which pushes the local workforce to outlying areas and other rural communities. As a result, despite being small towns, many developed gateway communities have large commuter-sheds and more employees who commute into the community than employees who live and work in the community.</w:t>
      </w:r>
      <w:r w:rsidRPr="0027202C" w:rsidDel="00453448">
        <w:rPr>
          <w:rFonts w:ascii="Calibri" w:hAnsi="Calibri" w:cs="Calibri"/>
          <w:sz w:val="22"/>
          <w:szCs w:val="22"/>
        </w:rPr>
        <w:t xml:space="preserve"> </w:t>
      </w:r>
      <w:r w:rsidRPr="0027202C">
        <w:rPr>
          <w:rFonts w:ascii="Calibri" w:hAnsi="Calibri" w:cs="Calibri"/>
          <w:sz w:val="22"/>
          <w:szCs w:val="22"/>
        </w:rPr>
        <w:t>Our observation</w:t>
      </w:r>
      <w:r w:rsidR="00BB5EC4" w:rsidRPr="0027202C">
        <w:rPr>
          <w:rFonts w:ascii="Calibri" w:hAnsi="Calibri" w:cs="Calibri"/>
          <w:sz w:val="22"/>
          <w:szCs w:val="22"/>
        </w:rPr>
        <w:t>s</w:t>
      </w:r>
      <w:r w:rsidRPr="0027202C">
        <w:rPr>
          <w:rFonts w:ascii="Calibri" w:hAnsi="Calibri" w:cs="Calibri"/>
          <w:sz w:val="22"/>
          <w:szCs w:val="22"/>
        </w:rPr>
        <w:t xml:space="preserve"> suggest this rural gentrification and </w:t>
      </w:r>
      <w:r w:rsidR="001A1707" w:rsidRPr="0027202C">
        <w:rPr>
          <w:rFonts w:ascii="Calibri" w:hAnsi="Calibri" w:cs="Calibri"/>
          <w:sz w:val="22"/>
          <w:szCs w:val="22"/>
        </w:rPr>
        <w:t xml:space="preserve">its </w:t>
      </w:r>
      <w:r w:rsidRPr="0027202C">
        <w:rPr>
          <w:rFonts w:ascii="Calibri" w:hAnsi="Calibri" w:cs="Calibri"/>
          <w:sz w:val="22"/>
          <w:szCs w:val="22"/>
        </w:rPr>
        <w:t>related spillover effect results in longer worker commutes, higher transportation costs, and impacts on transportation infrastructure, land use, access to opportunity, mobility</w:t>
      </w:r>
      <w:r w:rsidR="00077A51" w:rsidRPr="0027202C">
        <w:rPr>
          <w:rFonts w:ascii="Calibri" w:hAnsi="Calibri" w:cs="Calibri"/>
          <w:sz w:val="22"/>
          <w:szCs w:val="22"/>
        </w:rPr>
        <w:t xml:space="preserve">, </w:t>
      </w:r>
      <w:r w:rsidR="00397633" w:rsidRPr="0027202C">
        <w:rPr>
          <w:rFonts w:ascii="Calibri" w:hAnsi="Calibri" w:cs="Calibri"/>
          <w:sz w:val="22"/>
          <w:szCs w:val="22"/>
        </w:rPr>
        <w:t xml:space="preserve">equity, </w:t>
      </w:r>
      <w:r w:rsidR="00077A51" w:rsidRPr="0027202C">
        <w:rPr>
          <w:rFonts w:ascii="Calibri" w:hAnsi="Calibri" w:cs="Calibri"/>
          <w:sz w:val="22"/>
          <w:szCs w:val="22"/>
        </w:rPr>
        <w:t>and quality of life</w:t>
      </w:r>
      <w:r w:rsidRPr="0027202C">
        <w:rPr>
          <w:rFonts w:ascii="Calibri" w:hAnsi="Calibri" w:cs="Calibri"/>
          <w:sz w:val="22"/>
          <w:szCs w:val="22"/>
        </w:rPr>
        <w:t xml:space="preserve"> in these rural towns and</w:t>
      </w:r>
      <w:r w:rsidR="00BB5EC4" w:rsidRPr="0027202C">
        <w:rPr>
          <w:rFonts w:ascii="Calibri" w:hAnsi="Calibri" w:cs="Calibri"/>
          <w:sz w:val="22"/>
          <w:szCs w:val="22"/>
        </w:rPr>
        <w:t xml:space="preserve"> </w:t>
      </w:r>
      <w:r w:rsidRPr="0027202C">
        <w:rPr>
          <w:rFonts w:ascii="Calibri" w:hAnsi="Calibri" w:cs="Calibri"/>
          <w:sz w:val="22"/>
          <w:szCs w:val="22"/>
        </w:rPr>
        <w:t>cities and</w:t>
      </w:r>
      <w:r w:rsidR="00D033FF" w:rsidRPr="0027202C">
        <w:rPr>
          <w:rFonts w:ascii="Calibri" w:hAnsi="Calibri" w:cs="Calibri"/>
          <w:sz w:val="22"/>
          <w:szCs w:val="22"/>
        </w:rPr>
        <w:t xml:space="preserve"> </w:t>
      </w:r>
      <w:r w:rsidRPr="0027202C">
        <w:rPr>
          <w:rFonts w:ascii="Calibri" w:hAnsi="Calibri" w:cs="Calibri"/>
          <w:sz w:val="22"/>
          <w:szCs w:val="22"/>
        </w:rPr>
        <w:t>the regions around them. Our observation</w:t>
      </w:r>
      <w:r w:rsidR="001A1707" w:rsidRPr="0027202C">
        <w:rPr>
          <w:rFonts w:ascii="Calibri" w:hAnsi="Calibri" w:cs="Calibri"/>
          <w:sz w:val="22"/>
          <w:szCs w:val="22"/>
        </w:rPr>
        <w:t>s</w:t>
      </w:r>
      <w:r w:rsidRPr="0027202C">
        <w:rPr>
          <w:rFonts w:ascii="Calibri" w:hAnsi="Calibri" w:cs="Calibri"/>
          <w:sz w:val="22"/>
          <w:szCs w:val="22"/>
        </w:rPr>
        <w:t xml:space="preserve"> also suggest this trend has intensified in the last year and is now rapidly playing out across the rural </w:t>
      </w:r>
      <w:r w:rsidR="000E7EB7" w:rsidRPr="0027202C">
        <w:rPr>
          <w:rFonts w:ascii="Calibri" w:hAnsi="Calibri" w:cs="Calibri"/>
          <w:sz w:val="22"/>
          <w:szCs w:val="22"/>
        </w:rPr>
        <w:t>W</w:t>
      </w:r>
      <w:r w:rsidRPr="0027202C">
        <w:rPr>
          <w:rFonts w:ascii="Calibri" w:hAnsi="Calibri" w:cs="Calibri"/>
          <w:sz w:val="22"/>
          <w:szCs w:val="22"/>
        </w:rPr>
        <w:t xml:space="preserve">est due to COVID-19, which has expedited amenity migration and resulted in the “Zoom Town” phenomenon of remote workers relocating from high-income urban areas to </w:t>
      </w:r>
      <w:r w:rsidR="00077A51" w:rsidRPr="0027202C">
        <w:rPr>
          <w:rFonts w:ascii="Calibri" w:hAnsi="Calibri" w:cs="Calibri"/>
          <w:sz w:val="22"/>
          <w:szCs w:val="22"/>
        </w:rPr>
        <w:t>rural</w:t>
      </w:r>
      <w:r w:rsidRPr="0027202C">
        <w:rPr>
          <w:rFonts w:ascii="Calibri" w:hAnsi="Calibri" w:cs="Calibri"/>
          <w:sz w:val="22"/>
          <w:szCs w:val="22"/>
        </w:rPr>
        <w:t xml:space="preserve"> towns and cities. While we have plenty of anecdotal evidence that this is happening and creating profound impacts throughout the rural </w:t>
      </w:r>
      <w:r w:rsidR="001A1707" w:rsidRPr="0027202C">
        <w:rPr>
          <w:rFonts w:ascii="Calibri" w:hAnsi="Calibri" w:cs="Calibri"/>
          <w:sz w:val="22"/>
          <w:szCs w:val="22"/>
        </w:rPr>
        <w:t>W</w:t>
      </w:r>
      <w:r w:rsidRPr="0027202C">
        <w:rPr>
          <w:rFonts w:ascii="Calibri" w:hAnsi="Calibri" w:cs="Calibri"/>
          <w:sz w:val="22"/>
          <w:szCs w:val="22"/>
        </w:rPr>
        <w:t xml:space="preserve">est, our understanding of these dynamics in gateway communities and appropriate solutions for addressing them is limited. To address this gap, we propose to study the extent to which gateway communities throughout the </w:t>
      </w:r>
      <w:r w:rsidR="00EA4685" w:rsidRPr="0027202C">
        <w:rPr>
          <w:rFonts w:ascii="Calibri" w:hAnsi="Calibri" w:cs="Calibri"/>
          <w:sz w:val="22"/>
          <w:szCs w:val="22"/>
        </w:rPr>
        <w:t>W</w:t>
      </w:r>
      <w:r w:rsidRPr="0027202C">
        <w:rPr>
          <w:rFonts w:ascii="Calibri" w:hAnsi="Calibri" w:cs="Calibri"/>
          <w:sz w:val="22"/>
          <w:szCs w:val="22"/>
        </w:rPr>
        <w:t>est are experiencing interconnected housing, transportation, and land use challenges and how increased visitation and growth affect these issues. We also will explore the innovative things these communities are doing to respond and what can be learned from their experiences for small and large communities throughout the country. We will do so through conducting a regional survey of over 1,</w:t>
      </w:r>
      <w:r w:rsidR="0033303D" w:rsidRPr="0027202C">
        <w:rPr>
          <w:rFonts w:ascii="Calibri" w:hAnsi="Calibri" w:cs="Calibri"/>
          <w:sz w:val="22"/>
          <w:szCs w:val="22"/>
        </w:rPr>
        <w:t>8</w:t>
      </w:r>
      <w:r w:rsidRPr="0027202C">
        <w:rPr>
          <w:rFonts w:ascii="Calibri" w:hAnsi="Calibri" w:cs="Calibri"/>
          <w:sz w:val="22"/>
          <w:szCs w:val="22"/>
        </w:rPr>
        <w:t xml:space="preserve">00 western gateway communities; in-depth case studies of </w:t>
      </w:r>
      <w:r w:rsidR="00077A51" w:rsidRPr="0027202C">
        <w:rPr>
          <w:rFonts w:ascii="Calibri" w:hAnsi="Calibri" w:cs="Calibri"/>
          <w:sz w:val="22"/>
          <w:szCs w:val="22"/>
        </w:rPr>
        <w:t>6-10</w:t>
      </w:r>
      <w:r w:rsidRPr="0027202C">
        <w:rPr>
          <w:rFonts w:ascii="Calibri" w:hAnsi="Calibri" w:cs="Calibri"/>
          <w:sz w:val="22"/>
          <w:szCs w:val="22"/>
        </w:rPr>
        <w:t xml:space="preserve"> gateway communities that are “out front” in </w:t>
      </w:r>
      <w:r w:rsidR="0030766D" w:rsidRPr="0027202C">
        <w:rPr>
          <w:rFonts w:ascii="Calibri" w:hAnsi="Calibri" w:cs="Calibri"/>
          <w:sz w:val="22"/>
          <w:szCs w:val="22"/>
        </w:rPr>
        <w:t>experiencing</w:t>
      </w:r>
      <w:r w:rsidRPr="0027202C">
        <w:rPr>
          <w:rFonts w:ascii="Calibri" w:hAnsi="Calibri" w:cs="Calibri"/>
          <w:sz w:val="22"/>
          <w:szCs w:val="22"/>
        </w:rPr>
        <w:t xml:space="preserve"> and</w:t>
      </w:r>
      <w:r w:rsidR="0030766D" w:rsidRPr="0027202C">
        <w:rPr>
          <w:rFonts w:ascii="Calibri" w:hAnsi="Calibri" w:cs="Calibri"/>
          <w:sz w:val="22"/>
          <w:szCs w:val="22"/>
        </w:rPr>
        <w:t>/or</w:t>
      </w:r>
      <w:r w:rsidRPr="0027202C">
        <w:rPr>
          <w:rFonts w:ascii="Calibri" w:hAnsi="Calibri" w:cs="Calibri"/>
          <w:sz w:val="22"/>
          <w:szCs w:val="22"/>
        </w:rPr>
        <w:t xml:space="preserve"> responding to these issues; and a series of </w:t>
      </w:r>
      <w:r w:rsidR="00C63430" w:rsidRPr="0027202C">
        <w:rPr>
          <w:rFonts w:ascii="Calibri" w:hAnsi="Calibri" w:cs="Calibri"/>
          <w:sz w:val="22"/>
          <w:szCs w:val="22"/>
        </w:rPr>
        <w:t>workshops</w:t>
      </w:r>
      <w:r w:rsidRPr="0027202C">
        <w:rPr>
          <w:rFonts w:ascii="Calibri" w:hAnsi="Calibri" w:cs="Calibri"/>
          <w:sz w:val="22"/>
          <w:szCs w:val="22"/>
        </w:rPr>
        <w:t xml:space="preserve"> with gateway community representatives from across the </w:t>
      </w:r>
      <w:r w:rsidR="00EA4685" w:rsidRPr="0027202C">
        <w:rPr>
          <w:rFonts w:ascii="Calibri" w:hAnsi="Calibri" w:cs="Calibri"/>
          <w:sz w:val="22"/>
          <w:szCs w:val="22"/>
        </w:rPr>
        <w:t>W</w:t>
      </w:r>
      <w:r w:rsidRPr="0027202C">
        <w:rPr>
          <w:rFonts w:ascii="Calibri" w:hAnsi="Calibri" w:cs="Calibri"/>
          <w:sz w:val="22"/>
          <w:szCs w:val="22"/>
        </w:rPr>
        <w:t xml:space="preserve">est. We will also use Census data to map commuter-sheds and </w:t>
      </w:r>
      <w:r w:rsidR="00C63430" w:rsidRPr="0027202C">
        <w:rPr>
          <w:rFonts w:ascii="Calibri" w:hAnsi="Calibri" w:cs="Calibri"/>
          <w:sz w:val="22"/>
          <w:szCs w:val="22"/>
        </w:rPr>
        <w:t>analyze</w:t>
      </w:r>
      <w:r w:rsidRPr="0027202C">
        <w:rPr>
          <w:rFonts w:ascii="Calibri" w:hAnsi="Calibri" w:cs="Calibri"/>
          <w:sz w:val="22"/>
          <w:szCs w:val="22"/>
        </w:rPr>
        <w:t xml:space="preserve"> growth and development trends in these places. The results of this study will be used to produce tools, guidelines, and policy recommendations to assist gateway communities and other rural and urban communities in tackling their interconnected housing, transportation, and land use concerns. This study will also allow us to develop a longitudinal database on </w:t>
      </w:r>
      <w:r w:rsidR="00077A51" w:rsidRPr="0027202C">
        <w:rPr>
          <w:rFonts w:ascii="Calibri" w:hAnsi="Calibri" w:cs="Calibri"/>
          <w:sz w:val="22"/>
          <w:szCs w:val="22"/>
        </w:rPr>
        <w:t xml:space="preserve">planning and development challenges in </w:t>
      </w:r>
      <w:r w:rsidRPr="0027202C">
        <w:rPr>
          <w:rFonts w:ascii="Calibri" w:hAnsi="Calibri" w:cs="Calibri"/>
          <w:sz w:val="22"/>
          <w:szCs w:val="22"/>
        </w:rPr>
        <w:t>western gateway communities, which are some of the most rapidly growing and changing areas in the United States, a trend that is likely to continue with major implications for local, regional, and national transportation systems, infrastructure, and economics, as well as the broader western landscape. </w:t>
      </w:r>
    </w:p>
    <w:p w14:paraId="6F787E55" w14:textId="7FDEFBA5" w:rsidR="008020AB" w:rsidRDefault="004664D7" w:rsidP="0027202C">
      <w:pPr>
        <w:suppressAutoHyphens w:val="0"/>
        <w:ind w:leftChars="0" w:left="0" w:firstLineChars="0" w:firstLine="0"/>
        <w:textDirection w:val="lrTb"/>
        <w:textAlignment w:val="auto"/>
        <w:outlineLvl w:val="9"/>
      </w:pPr>
      <w:r>
        <w:br w:type="page"/>
      </w:r>
      <w:r w:rsidR="005F6EC4" w:rsidRPr="0027202C">
        <w:rPr>
          <w:rFonts w:ascii="Tw Cen MT Condensed Extra Bold" w:eastAsia="Times New Roman" w:hAnsi="Tw Cen MT Condensed Extra Bold" w:cs="Times New Roman"/>
          <w:color w:val="262626"/>
          <w:sz w:val="32"/>
          <w:szCs w:val="32"/>
        </w:rPr>
        <w:lastRenderedPageBreak/>
        <w:t>LITERATURE REVIEW</w:t>
      </w:r>
    </w:p>
    <w:p w14:paraId="2F9E6F38" w14:textId="06E2351F" w:rsidR="008B7B28" w:rsidRPr="0027202C" w:rsidRDefault="004664D7" w:rsidP="008B7B28">
      <w:pPr>
        <w:suppressAutoHyphens w:val="0"/>
        <w:autoSpaceDE w:val="0"/>
        <w:autoSpaceDN w:val="0"/>
        <w:adjustRightInd w:val="0"/>
        <w:spacing w:after="0" w:line="240" w:lineRule="auto"/>
        <w:ind w:leftChars="0" w:left="0" w:firstLineChars="0" w:firstLine="0"/>
        <w:textDirection w:val="lrTb"/>
        <w:textAlignment w:val="auto"/>
        <w:outlineLvl w:val="9"/>
        <w:rPr>
          <w:rFonts w:ascii="Calibri" w:hAnsi="Calibri" w:cs="Calibri"/>
          <w:sz w:val="22"/>
          <w:szCs w:val="22"/>
        </w:rPr>
      </w:pPr>
      <w:bookmarkStart w:id="0" w:name="_heading=h.30j0zll" w:colFirst="0" w:colLast="0"/>
      <w:bookmarkEnd w:id="0"/>
      <w:r w:rsidRPr="0027202C">
        <w:rPr>
          <w:rFonts w:ascii="Calibri" w:hAnsi="Calibri" w:cs="Calibri"/>
          <w:sz w:val="22"/>
          <w:szCs w:val="22"/>
        </w:rPr>
        <w:t xml:space="preserve">Our prior NITC- funded research demonstrated that small, rural communities near national parks, public lands, and other natural amenities (i.e., “gateway communities”) throughout the </w:t>
      </w:r>
      <w:r w:rsidR="002A1EAF" w:rsidRPr="0027202C">
        <w:rPr>
          <w:rFonts w:ascii="Calibri" w:hAnsi="Calibri" w:cs="Calibri"/>
          <w:sz w:val="22"/>
          <w:szCs w:val="22"/>
        </w:rPr>
        <w:t>W</w:t>
      </w:r>
      <w:r w:rsidRPr="0027202C">
        <w:rPr>
          <w:rFonts w:ascii="Calibri" w:hAnsi="Calibri" w:cs="Calibri"/>
          <w:sz w:val="22"/>
          <w:szCs w:val="22"/>
        </w:rPr>
        <w:t>est are becoming highly desirable places to live and visit. As a result, many of these places—which constitute 31% of all communities in the U.S. Mountain West and 61% of those under 25,000 people</w:t>
      </w:r>
      <w:r w:rsidR="00364F55" w:rsidRPr="0027202C">
        <w:rPr>
          <w:rFonts w:ascii="Calibri" w:hAnsi="Calibri" w:cs="Calibri"/>
          <w:sz w:val="22"/>
          <w:szCs w:val="22"/>
        </w:rPr>
        <w:t>—</w:t>
      </w:r>
      <w:r w:rsidRPr="0027202C">
        <w:rPr>
          <w:rFonts w:ascii="Calibri" w:hAnsi="Calibri" w:cs="Calibri"/>
          <w:sz w:val="22"/>
          <w:szCs w:val="22"/>
        </w:rPr>
        <w:t>are experiencing a range of “big city problems,” including major issues associated with lack of affordable workforce housing, cost of living, and income inequality (Stoker et al</w:t>
      </w:r>
      <w:r w:rsidR="008B7B28" w:rsidRPr="0027202C">
        <w:rPr>
          <w:rFonts w:ascii="Calibri" w:hAnsi="Calibri" w:cs="Calibri"/>
          <w:sz w:val="22"/>
          <w:szCs w:val="22"/>
        </w:rPr>
        <w:t>.</w:t>
      </w:r>
      <w:r w:rsidRPr="0027202C">
        <w:rPr>
          <w:rFonts w:ascii="Calibri" w:hAnsi="Calibri" w:cs="Calibri"/>
          <w:sz w:val="22"/>
          <w:szCs w:val="22"/>
        </w:rPr>
        <w:t xml:space="preserve"> 202</w:t>
      </w:r>
      <w:r w:rsidR="005E2EFD" w:rsidRPr="0027202C">
        <w:rPr>
          <w:rFonts w:ascii="Calibri" w:hAnsi="Calibri" w:cs="Calibri"/>
          <w:sz w:val="22"/>
          <w:szCs w:val="22"/>
        </w:rPr>
        <w:t>1</w:t>
      </w:r>
      <w:r w:rsidRPr="0027202C">
        <w:rPr>
          <w:rFonts w:ascii="Calibri" w:hAnsi="Calibri" w:cs="Calibri"/>
          <w:sz w:val="22"/>
          <w:szCs w:val="22"/>
        </w:rPr>
        <w:t xml:space="preserve">). As in urban areas, these issues appear to be heavily tied to transportation, mobility, and land use concerns. In particular, the </w:t>
      </w:r>
      <w:r w:rsidR="00BE382B" w:rsidRPr="0027202C">
        <w:rPr>
          <w:rFonts w:ascii="Calibri" w:hAnsi="Calibri" w:cs="Calibri"/>
          <w:sz w:val="22"/>
          <w:szCs w:val="22"/>
        </w:rPr>
        <w:t>increasing</w:t>
      </w:r>
      <w:r w:rsidRPr="0027202C">
        <w:rPr>
          <w:rFonts w:ascii="Calibri" w:hAnsi="Calibri" w:cs="Calibri"/>
          <w:sz w:val="22"/>
          <w:szCs w:val="22"/>
        </w:rPr>
        <w:t xml:space="preserve"> cost of housing in gateway communities appears to be forcing workers—including teachers and even doctors—to relocate to surrounding areas</w:t>
      </w:r>
      <w:r w:rsidR="009D4BE0" w:rsidRPr="0027202C">
        <w:rPr>
          <w:rFonts w:ascii="Calibri" w:hAnsi="Calibri" w:cs="Calibri"/>
          <w:sz w:val="22"/>
          <w:szCs w:val="22"/>
        </w:rPr>
        <w:t xml:space="preserve">. </w:t>
      </w:r>
      <w:r w:rsidRPr="0027202C">
        <w:rPr>
          <w:rFonts w:ascii="Calibri" w:hAnsi="Calibri" w:cs="Calibri"/>
          <w:sz w:val="22"/>
          <w:szCs w:val="22"/>
        </w:rPr>
        <w:t xml:space="preserve">This rural gentrification and related </w:t>
      </w:r>
      <w:r w:rsidR="00077A51" w:rsidRPr="0027202C">
        <w:rPr>
          <w:rFonts w:ascii="Calibri" w:hAnsi="Calibri" w:cs="Calibri"/>
          <w:sz w:val="22"/>
          <w:szCs w:val="22"/>
        </w:rPr>
        <w:t xml:space="preserve">spillover effect </w:t>
      </w:r>
      <w:r w:rsidR="00C63430" w:rsidRPr="0027202C">
        <w:rPr>
          <w:rFonts w:ascii="Calibri" w:hAnsi="Calibri" w:cs="Calibri"/>
          <w:sz w:val="22"/>
          <w:szCs w:val="22"/>
        </w:rPr>
        <w:t>heavily impact</w:t>
      </w:r>
      <w:r w:rsidRPr="0027202C">
        <w:rPr>
          <w:rFonts w:ascii="Calibri" w:hAnsi="Calibri" w:cs="Calibri"/>
          <w:sz w:val="22"/>
          <w:szCs w:val="22"/>
        </w:rPr>
        <w:t xml:space="preserve"> land use patterns and transportation infrastructure</w:t>
      </w:r>
      <w:r w:rsidR="00C63430" w:rsidRPr="0027202C">
        <w:rPr>
          <w:rFonts w:ascii="Calibri" w:hAnsi="Calibri" w:cs="Calibri"/>
          <w:sz w:val="22"/>
          <w:szCs w:val="22"/>
        </w:rPr>
        <w:t>,</w:t>
      </w:r>
      <w:r w:rsidRPr="0027202C">
        <w:rPr>
          <w:rFonts w:ascii="Calibri" w:hAnsi="Calibri" w:cs="Calibri"/>
          <w:sz w:val="22"/>
          <w:szCs w:val="22"/>
        </w:rPr>
        <w:t xml:space="preserve"> </w:t>
      </w:r>
      <w:r w:rsidR="00C63430" w:rsidRPr="0027202C">
        <w:rPr>
          <w:rFonts w:ascii="Calibri" w:hAnsi="Calibri" w:cs="Calibri"/>
          <w:sz w:val="22"/>
          <w:szCs w:val="22"/>
        </w:rPr>
        <w:t>limit access to</w:t>
      </w:r>
      <w:r w:rsidRPr="0027202C">
        <w:rPr>
          <w:rFonts w:ascii="Calibri" w:hAnsi="Calibri" w:cs="Calibri"/>
          <w:sz w:val="22"/>
          <w:szCs w:val="22"/>
        </w:rPr>
        <w:t xml:space="preserve"> opportunity, </w:t>
      </w:r>
      <w:r w:rsidR="00C63430" w:rsidRPr="0027202C">
        <w:rPr>
          <w:rFonts w:ascii="Calibri" w:hAnsi="Calibri" w:cs="Calibri"/>
          <w:sz w:val="22"/>
          <w:szCs w:val="22"/>
        </w:rPr>
        <w:t xml:space="preserve">and affect </w:t>
      </w:r>
      <w:r w:rsidRPr="0027202C">
        <w:rPr>
          <w:rFonts w:ascii="Calibri" w:hAnsi="Calibri" w:cs="Calibri"/>
          <w:sz w:val="22"/>
          <w:szCs w:val="22"/>
        </w:rPr>
        <w:t xml:space="preserve">mobility, </w:t>
      </w:r>
      <w:r w:rsidR="009D4BE0" w:rsidRPr="0027202C">
        <w:rPr>
          <w:rFonts w:ascii="Calibri" w:hAnsi="Calibri" w:cs="Calibri"/>
          <w:sz w:val="22"/>
          <w:szCs w:val="22"/>
        </w:rPr>
        <w:t>equity</w:t>
      </w:r>
      <w:r w:rsidRPr="0027202C">
        <w:rPr>
          <w:rFonts w:ascii="Calibri" w:hAnsi="Calibri" w:cs="Calibri"/>
          <w:sz w:val="22"/>
          <w:szCs w:val="22"/>
        </w:rPr>
        <w:t xml:space="preserve">, and quality of life in these </w:t>
      </w:r>
      <w:r w:rsidR="00BE382B" w:rsidRPr="0027202C">
        <w:rPr>
          <w:rFonts w:ascii="Calibri" w:hAnsi="Calibri" w:cs="Calibri"/>
          <w:sz w:val="22"/>
          <w:szCs w:val="22"/>
        </w:rPr>
        <w:t>communities</w:t>
      </w:r>
      <w:r w:rsidR="0072697A" w:rsidRPr="0027202C">
        <w:rPr>
          <w:rFonts w:ascii="Calibri" w:hAnsi="Calibri" w:cs="Calibri"/>
          <w:sz w:val="22"/>
          <w:szCs w:val="22"/>
        </w:rPr>
        <w:t xml:space="preserve"> and</w:t>
      </w:r>
      <w:r w:rsidRPr="0027202C">
        <w:rPr>
          <w:rFonts w:ascii="Calibri" w:hAnsi="Calibri" w:cs="Calibri"/>
          <w:sz w:val="22"/>
          <w:szCs w:val="22"/>
        </w:rPr>
        <w:t xml:space="preserve"> the regions around them (</w:t>
      </w:r>
      <w:r w:rsidR="009D4BE0" w:rsidRPr="0027202C">
        <w:rPr>
          <w:rFonts w:ascii="Calibri" w:hAnsi="Calibri" w:cs="Calibri"/>
          <w:sz w:val="22"/>
          <w:szCs w:val="22"/>
        </w:rPr>
        <w:t xml:space="preserve">Rumore et al. 2019; </w:t>
      </w:r>
      <w:r w:rsidRPr="0027202C">
        <w:rPr>
          <w:rFonts w:ascii="Calibri" w:hAnsi="Calibri" w:cs="Calibri"/>
          <w:sz w:val="22"/>
          <w:szCs w:val="22"/>
        </w:rPr>
        <w:t>Stoker et al. 202</w:t>
      </w:r>
      <w:r w:rsidR="009D4BE0" w:rsidRPr="0027202C">
        <w:rPr>
          <w:rFonts w:ascii="Calibri" w:hAnsi="Calibri" w:cs="Calibri"/>
          <w:sz w:val="22"/>
          <w:szCs w:val="22"/>
        </w:rPr>
        <w:t>1</w:t>
      </w:r>
      <w:r w:rsidRPr="0027202C">
        <w:rPr>
          <w:rFonts w:ascii="Calibri" w:hAnsi="Calibri" w:cs="Calibri"/>
          <w:sz w:val="22"/>
          <w:szCs w:val="22"/>
        </w:rPr>
        <w:t>; Stube</w:t>
      </w:r>
      <w:r w:rsidR="00BE382B" w:rsidRPr="0027202C">
        <w:rPr>
          <w:rFonts w:ascii="Calibri" w:hAnsi="Calibri" w:cs="Calibri"/>
          <w:sz w:val="22"/>
          <w:szCs w:val="22"/>
        </w:rPr>
        <w:t>r</w:t>
      </w:r>
      <w:r w:rsidRPr="0027202C">
        <w:rPr>
          <w:rFonts w:ascii="Calibri" w:hAnsi="Calibri" w:cs="Calibri"/>
          <w:sz w:val="22"/>
          <w:szCs w:val="22"/>
        </w:rPr>
        <w:t xml:space="preserve"> 2021</w:t>
      </w:r>
      <w:r w:rsidR="008B7B28" w:rsidRPr="0027202C">
        <w:rPr>
          <w:rFonts w:ascii="Calibri" w:hAnsi="Calibri" w:cs="Calibri"/>
          <w:sz w:val="22"/>
          <w:szCs w:val="22"/>
        </w:rPr>
        <w:t xml:space="preserve">; </w:t>
      </w:r>
      <w:proofErr w:type="spellStart"/>
      <w:r w:rsidR="008B7B28" w:rsidRPr="0027202C">
        <w:rPr>
          <w:rFonts w:ascii="Calibri" w:hAnsi="Calibri" w:cs="Calibri"/>
          <w:sz w:val="22"/>
          <w:szCs w:val="22"/>
        </w:rPr>
        <w:t>Pilgeram</w:t>
      </w:r>
      <w:proofErr w:type="spellEnd"/>
      <w:r w:rsidR="008B7B28" w:rsidRPr="0027202C">
        <w:rPr>
          <w:rFonts w:ascii="Calibri" w:hAnsi="Calibri" w:cs="Calibri"/>
          <w:sz w:val="22"/>
          <w:szCs w:val="22"/>
        </w:rPr>
        <w:t xml:space="preserve"> 2021</w:t>
      </w:r>
      <w:r w:rsidRPr="0027202C">
        <w:rPr>
          <w:rFonts w:ascii="Calibri" w:hAnsi="Calibri" w:cs="Calibri"/>
          <w:sz w:val="22"/>
          <w:szCs w:val="22"/>
        </w:rPr>
        <w:t xml:space="preserve">). Our ongoing engagement with rural communities suggests that COVID-19 has accelerated amenity migration </w:t>
      </w:r>
      <w:r w:rsidR="009D4BE0" w:rsidRPr="0027202C">
        <w:rPr>
          <w:rFonts w:ascii="Calibri" w:hAnsi="Calibri" w:cs="Calibri"/>
          <w:sz w:val="22"/>
          <w:szCs w:val="22"/>
        </w:rPr>
        <w:t>to and increased visitation of</w:t>
      </w:r>
      <w:r w:rsidRPr="0027202C">
        <w:rPr>
          <w:rFonts w:ascii="Calibri" w:hAnsi="Calibri" w:cs="Calibri"/>
          <w:sz w:val="22"/>
          <w:szCs w:val="22"/>
        </w:rPr>
        <w:t xml:space="preserve"> gateway communities in the </w:t>
      </w:r>
      <w:r w:rsidR="0055417B" w:rsidRPr="0027202C">
        <w:rPr>
          <w:rFonts w:ascii="Calibri" w:hAnsi="Calibri" w:cs="Calibri"/>
          <w:sz w:val="22"/>
          <w:szCs w:val="22"/>
        </w:rPr>
        <w:t>W</w:t>
      </w:r>
      <w:r w:rsidRPr="0027202C">
        <w:rPr>
          <w:rFonts w:ascii="Calibri" w:hAnsi="Calibri" w:cs="Calibri"/>
          <w:sz w:val="22"/>
          <w:szCs w:val="22"/>
        </w:rPr>
        <w:t xml:space="preserve">est and elsewhere, expediting rural gentrification and </w:t>
      </w:r>
      <w:r w:rsidR="00BE382B" w:rsidRPr="0027202C">
        <w:rPr>
          <w:rFonts w:ascii="Calibri" w:hAnsi="Calibri" w:cs="Calibri"/>
          <w:sz w:val="22"/>
          <w:szCs w:val="22"/>
        </w:rPr>
        <w:t xml:space="preserve">the </w:t>
      </w:r>
      <w:r w:rsidRPr="0027202C">
        <w:rPr>
          <w:rFonts w:ascii="Calibri" w:hAnsi="Calibri" w:cs="Calibri"/>
          <w:sz w:val="22"/>
          <w:szCs w:val="22"/>
        </w:rPr>
        <w:t>displac</w:t>
      </w:r>
      <w:r w:rsidR="00BE382B" w:rsidRPr="0027202C">
        <w:rPr>
          <w:rFonts w:ascii="Calibri" w:hAnsi="Calibri" w:cs="Calibri"/>
          <w:sz w:val="22"/>
          <w:szCs w:val="22"/>
        </w:rPr>
        <w:t>ement of</w:t>
      </w:r>
      <w:r w:rsidRPr="0027202C">
        <w:rPr>
          <w:rFonts w:ascii="Calibri" w:hAnsi="Calibri" w:cs="Calibri"/>
          <w:sz w:val="22"/>
          <w:szCs w:val="22"/>
        </w:rPr>
        <w:t xml:space="preserve"> workers. While we have plenty of anecdotal evidence of the interconnected housing, transportation, and land use challenges gateway communities throughout the </w:t>
      </w:r>
      <w:r w:rsidR="0055417B" w:rsidRPr="0027202C">
        <w:rPr>
          <w:rFonts w:ascii="Calibri" w:hAnsi="Calibri" w:cs="Calibri"/>
          <w:sz w:val="22"/>
          <w:szCs w:val="22"/>
        </w:rPr>
        <w:t>W</w:t>
      </w:r>
      <w:r w:rsidRPr="0027202C">
        <w:rPr>
          <w:rFonts w:ascii="Calibri" w:hAnsi="Calibri" w:cs="Calibri"/>
          <w:sz w:val="22"/>
          <w:szCs w:val="22"/>
        </w:rPr>
        <w:t xml:space="preserve">est are </w:t>
      </w:r>
      <w:r w:rsidR="00BE382B" w:rsidRPr="0027202C">
        <w:rPr>
          <w:rFonts w:ascii="Calibri" w:hAnsi="Calibri" w:cs="Calibri"/>
          <w:sz w:val="22"/>
          <w:szCs w:val="22"/>
        </w:rPr>
        <w:t>experiencing</w:t>
      </w:r>
      <w:r w:rsidRPr="0027202C">
        <w:rPr>
          <w:rFonts w:ascii="Calibri" w:hAnsi="Calibri" w:cs="Calibri"/>
          <w:sz w:val="22"/>
          <w:szCs w:val="22"/>
        </w:rPr>
        <w:t xml:space="preserve">, </w:t>
      </w:r>
      <w:r w:rsidR="00AF447C" w:rsidRPr="0027202C">
        <w:rPr>
          <w:rFonts w:ascii="Calibri" w:hAnsi="Calibri" w:cs="Calibri"/>
          <w:sz w:val="22"/>
          <w:szCs w:val="22"/>
        </w:rPr>
        <w:t xml:space="preserve">little academic attention has been paid to these communities and </w:t>
      </w:r>
      <w:r w:rsidRPr="0027202C">
        <w:rPr>
          <w:rFonts w:ascii="Calibri" w:hAnsi="Calibri" w:cs="Calibri"/>
          <w:sz w:val="22"/>
          <w:szCs w:val="22"/>
        </w:rPr>
        <w:t>our understanding of these dynamics in gateway communities and appropriate solutions for addressing them is limited.</w:t>
      </w:r>
    </w:p>
    <w:p w14:paraId="708019E1" w14:textId="5BC60BF7" w:rsidR="008B7B28" w:rsidRPr="0027202C" w:rsidRDefault="004664D7" w:rsidP="004C2376">
      <w:pPr>
        <w:suppressAutoHyphens w:val="0"/>
        <w:autoSpaceDE w:val="0"/>
        <w:autoSpaceDN w:val="0"/>
        <w:adjustRightInd w:val="0"/>
        <w:spacing w:before="120" w:after="0" w:line="240" w:lineRule="auto"/>
        <w:ind w:leftChars="0" w:left="0" w:firstLineChars="0" w:firstLine="0"/>
        <w:textDirection w:val="lrTb"/>
        <w:textAlignment w:val="auto"/>
        <w:outlineLvl w:val="9"/>
        <w:rPr>
          <w:rFonts w:ascii="Calibri" w:hAnsi="Calibri" w:cs="Calibri"/>
          <w:position w:val="0"/>
          <w:sz w:val="22"/>
          <w:szCs w:val="22"/>
        </w:rPr>
      </w:pPr>
      <w:r w:rsidRPr="0027202C">
        <w:rPr>
          <w:rFonts w:ascii="Calibri" w:hAnsi="Calibri" w:cs="Calibri"/>
          <w:position w:val="0"/>
          <w:sz w:val="22"/>
          <w:szCs w:val="22"/>
        </w:rPr>
        <w:t xml:space="preserve">Prior studies have noted issues associated with housing in gateway communities. </w:t>
      </w:r>
      <w:r w:rsidR="00BE382B" w:rsidRPr="0027202C">
        <w:rPr>
          <w:rFonts w:ascii="Calibri" w:hAnsi="Calibri" w:cs="Calibri"/>
          <w:position w:val="0"/>
          <w:sz w:val="22"/>
          <w:szCs w:val="22"/>
        </w:rPr>
        <w:t>M</w:t>
      </w:r>
      <w:r w:rsidRPr="0027202C">
        <w:rPr>
          <w:rFonts w:ascii="Calibri" w:hAnsi="Calibri" w:cs="Calibri"/>
          <w:position w:val="0"/>
          <w:sz w:val="22"/>
          <w:szCs w:val="22"/>
        </w:rPr>
        <w:t xml:space="preserve">ost prior studies examine </w:t>
      </w:r>
      <w:r w:rsidRPr="0027202C">
        <w:rPr>
          <w:rFonts w:ascii="Calibri" w:hAnsi="Calibri" w:cs="Calibri"/>
          <w:sz w:val="22"/>
          <w:szCs w:val="22"/>
        </w:rPr>
        <w:t>housing</w:t>
      </w:r>
      <w:r w:rsidRPr="0027202C">
        <w:rPr>
          <w:rFonts w:ascii="Calibri" w:hAnsi="Calibri" w:cs="Calibri"/>
          <w:position w:val="0"/>
          <w:sz w:val="22"/>
          <w:szCs w:val="22"/>
        </w:rPr>
        <w:t xml:space="preserve"> demand, </w:t>
      </w:r>
      <w:r w:rsidRPr="0027202C">
        <w:rPr>
          <w:rFonts w:ascii="Calibri" w:hAnsi="Calibri" w:cs="Calibri"/>
          <w:sz w:val="22"/>
          <w:szCs w:val="22"/>
        </w:rPr>
        <w:t>looking at the increase in second-home ownership and amenity migration (Ghose 2013; Gosnell and Abrams 2011; Nelson and Hines 2018; Ulrich-</w:t>
      </w:r>
      <w:proofErr w:type="spellStart"/>
      <w:r w:rsidRPr="0027202C">
        <w:rPr>
          <w:rFonts w:ascii="Calibri" w:hAnsi="Calibri" w:cs="Calibri"/>
          <w:sz w:val="22"/>
          <w:szCs w:val="22"/>
        </w:rPr>
        <w:t>Schad</w:t>
      </w:r>
      <w:proofErr w:type="spellEnd"/>
      <w:r w:rsidRPr="0027202C">
        <w:rPr>
          <w:rFonts w:ascii="Calibri" w:hAnsi="Calibri" w:cs="Calibri"/>
          <w:sz w:val="22"/>
          <w:szCs w:val="22"/>
        </w:rPr>
        <w:t xml:space="preserve"> and Qin 2018; </w:t>
      </w:r>
      <w:proofErr w:type="spellStart"/>
      <w:r w:rsidRPr="0027202C">
        <w:rPr>
          <w:rFonts w:ascii="Calibri" w:hAnsi="Calibri" w:cs="Calibri"/>
          <w:sz w:val="22"/>
          <w:szCs w:val="22"/>
        </w:rPr>
        <w:t>Stephanick</w:t>
      </w:r>
      <w:proofErr w:type="spellEnd"/>
      <w:r w:rsidRPr="0027202C">
        <w:rPr>
          <w:rFonts w:ascii="Calibri" w:hAnsi="Calibri" w:cs="Calibri"/>
          <w:sz w:val="22"/>
          <w:szCs w:val="22"/>
        </w:rPr>
        <w:t xml:space="preserve"> 2008; Winkler </w:t>
      </w:r>
      <w:r w:rsidR="0033303D" w:rsidRPr="0027202C">
        <w:rPr>
          <w:rFonts w:ascii="Calibri" w:hAnsi="Calibri" w:cs="Calibri"/>
          <w:sz w:val="22"/>
          <w:szCs w:val="22"/>
        </w:rPr>
        <w:t xml:space="preserve">and </w:t>
      </w:r>
      <w:proofErr w:type="spellStart"/>
      <w:r w:rsidR="0033303D" w:rsidRPr="0027202C">
        <w:rPr>
          <w:rFonts w:ascii="Calibri" w:hAnsi="Calibri" w:cs="Calibri"/>
          <w:sz w:val="22"/>
          <w:szCs w:val="22"/>
        </w:rPr>
        <w:t>Marcouiller</w:t>
      </w:r>
      <w:proofErr w:type="spellEnd"/>
      <w:r w:rsidR="0033303D" w:rsidRPr="0027202C">
        <w:rPr>
          <w:rFonts w:ascii="Calibri" w:hAnsi="Calibri" w:cs="Calibri"/>
          <w:sz w:val="22"/>
          <w:szCs w:val="22"/>
        </w:rPr>
        <w:t xml:space="preserve"> </w:t>
      </w:r>
      <w:r w:rsidRPr="0027202C">
        <w:rPr>
          <w:rFonts w:ascii="Calibri" w:hAnsi="Calibri" w:cs="Calibri"/>
          <w:sz w:val="22"/>
          <w:szCs w:val="22"/>
        </w:rPr>
        <w:t>2015). Research on the supply side of housing in gateway communities, especially as it pertains to equity of access to housing and workforce housing, is very limited.</w:t>
      </w:r>
      <w:r w:rsidR="00E83473" w:rsidRPr="0027202C">
        <w:rPr>
          <w:rFonts w:ascii="Calibri" w:hAnsi="Calibri" w:cs="Calibri"/>
          <w:sz w:val="22"/>
          <w:szCs w:val="22"/>
        </w:rPr>
        <w:t xml:space="preserve"> The</w:t>
      </w:r>
      <w:r w:rsidRPr="0027202C">
        <w:rPr>
          <w:rFonts w:ascii="Calibri" w:hAnsi="Calibri" w:cs="Calibri"/>
          <w:sz w:val="22"/>
          <w:szCs w:val="22"/>
        </w:rPr>
        <w:t xml:space="preserve"> work </w:t>
      </w:r>
      <w:r w:rsidR="00E83473" w:rsidRPr="0027202C">
        <w:rPr>
          <w:rFonts w:ascii="Calibri" w:hAnsi="Calibri" w:cs="Calibri"/>
          <w:sz w:val="22"/>
          <w:szCs w:val="22"/>
        </w:rPr>
        <w:t xml:space="preserve">that </w:t>
      </w:r>
      <w:r w:rsidRPr="0027202C">
        <w:rPr>
          <w:rFonts w:ascii="Calibri" w:hAnsi="Calibri" w:cs="Calibri"/>
          <w:sz w:val="22"/>
          <w:szCs w:val="22"/>
        </w:rPr>
        <w:t>has previously been done suggests that land use patterns in amenity communities drive housing costs and distribution of housing stock (Darling 2005; Nelson and Hines 2018)</w:t>
      </w:r>
      <w:r w:rsidR="008B7B28" w:rsidRPr="0027202C">
        <w:rPr>
          <w:rFonts w:ascii="Calibri" w:hAnsi="Calibri" w:cs="Calibri"/>
          <w:sz w:val="22"/>
          <w:szCs w:val="22"/>
        </w:rPr>
        <w:t>. W</w:t>
      </w:r>
      <w:r w:rsidRPr="0027202C">
        <w:rPr>
          <w:rFonts w:ascii="Calibri" w:hAnsi="Calibri" w:cs="Calibri"/>
          <w:sz w:val="22"/>
          <w:szCs w:val="22"/>
        </w:rPr>
        <w:t>hile this literature provides some insight into housing supply and accessibility, it does not explore the connection between transportation and housing</w:t>
      </w:r>
      <w:r w:rsidR="00C63430" w:rsidRPr="0027202C">
        <w:rPr>
          <w:rFonts w:ascii="Calibri" w:hAnsi="Calibri" w:cs="Calibri"/>
          <w:sz w:val="22"/>
          <w:szCs w:val="22"/>
        </w:rPr>
        <w:t>.</w:t>
      </w:r>
      <w:r w:rsidR="009D4BE0" w:rsidRPr="0027202C">
        <w:rPr>
          <w:rFonts w:ascii="Calibri" w:hAnsi="Calibri" w:cs="Calibri"/>
          <w:sz w:val="22"/>
          <w:szCs w:val="22"/>
        </w:rPr>
        <w:t xml:space="preserve"> Nor does it look at housing issues across gateway communities to identify larger trends.</w:t>
      </w:r>
      <w:r w:rsidR="00FF0763" w:rsidRPr="0027202C">
        <w:rPr>
          <w:rFonts w:ascii="Calibri" w:hAnsi="Calibri" w:cs="Calibri"/>
          <w:sz w:val="22"/>
          <w:szCs w:val="22"/>
        </w:rPr>
        <w:t xml:space="preserve"> </w:t>
      </w:r>
      <w:r w:rsidRPr="0027202C">
        <w:rPr>
          <w:rFonts w:ascii="Calibri" w:hAnsi="Calibri" w:cs="Calibri"/>
          <w:sz w:val="22"/>
          <w:szCs w:val="22"/>
        </w:rPr>
        <w:t>Similarly, prior research has identified a variety of transportation issues in gateway communities and regions but has not drawn a connection between transportation, housing, and land use. Existing studies largely focus on transportation issues within nearby national parks and other public lands, rather than in gateway communities themselves (Daigle</w:t>
      </w:r>
      <w:r w:rsidRPr="0027202C">
        <w:rPr>
          <w:rFonts w:ascii="Calibri" w:hAnsi="Calibri" w:cs="Calibri"/>
          <w:position w:val="0"/>
          <w:sz w:val="22"/>
          <w:szCs w:val="22"/>
        </w:rPr>
        <w:t xml:space="preserve"> 2008; Mace et al. 2013; Mace 2014). Transportation research that has addressed gateway communities has tended to look at engineering and technological implementation</w:t>
      </w:r>
      <w:r w:rsidR="00FF0763" w:rsidRPr="0027202C">
        <w:rPr>
          <w:rFonts w:ascii="Calibri" w:hAnsi="Calibri" w:cs="Calibri"/>
          <w:sz w:val="22"/>
          <w:szCs w:val="22"/>
        </w:rPr>
        <w:t xml:space="preserve"> (</w:t>
      </w:r>
      <w:r w:rsidRPr="0027202C">
        <w:rPr>
          <w:rFonts w:ascii="Calibri" w:hAnsi="Calibri" w:cs="Calibri"/>
          <w:position w:val="0"/>
          <w:sz w:val="22"/>
          <w:szCs w:val="22"/>
        </w:rPr>
        <w:t>Wang et al</w:t>
      </w:r>
      <w:r w:rsidR="0033303D" w:rsidRPr="0027202C">
        <w:rPr>
          <w:rFonts w:ascii="Calibri" w:hAnsi="Calibri" w:cs="Calibri"/>
          <w:position w:val="0"/>
          <w:sz w:val="22"/>
          <w:szCs w:val="22"/>
        </w:rPr>
        <w:t>.</w:t>
      </w:r>
      <w:r w:rsidRPr="0027202C">
        <w:rPr>
          <w:rFonts w:ascii="Calibri" w:hAnsi="Calibri" w:cs="Calibri"/>
          <w:position w:val="0"/>
          <w:sz w:val="22"/>
          <w:szCs w:val="22"/>
        </w:rPr>
        <w:t xml:space="preserve"> 2016</w:t>
      </w:r>
      <w:r w:rsidR="00FF0763" w:rsidRPr="0027202C">
        <w:rPr>
          <w:rFonts w:ascii="Calibri" w:hAnsi="Calibri" w:cs="Calibri"/>
          <w:sz w:val="22"/>
          <w:szCs w:val="22"/>
        </w:rPr>
        <w:t xml:space="preserve">; </w:t>
      </w:r>
      <w:r w:rsidRPr="0027202C">
        <w:rPr>
          <w:rFonts w:ascii="Calibri" w:hAnsi="Calibri" w:cs="Calibri"/>
          <w:position w:val="0"/>
          <w:sz w:val="22"/>
          <w:szCs w:val="22"/>
        </w:rPr>
        <w:t>Daigle 2008</w:t>
      </w:r>
      <w:r w:rsidR="00FF0763" w:rsidRPr="0027202C">
        <w:rPr>
          <w:rFonts w:ascii="Calibri" w:hAnsi="Calibri" w:cs="Calibri"/>
          <w:sz w:val="22"/>
          <w:szCs w:val="22"/>
        </w:rPr>
        <w:t xml:space="preserve">; </w:t>
      </w:r>
      <w:r w:rsidRPr="0027202C">
        <w:rPr>
          <w:rFonts w:ascii="Calibri" w:hAnsi="Calibri" w:cs="Calibri"/>
          <w:position w:val="0"/>
          <w:sz w:val="22"/>
          <w:szCs w:val="22"/>
        </w:rPr>
        <w:t>Dunning 2005; Mace 2014). Notably, prior studies largely focus on visitors, rather than residents and workers, as the main transportation users</w:t>
      </w:r>
      <w:r w:rsidR="00FF0763" w:rsidRPr="0027202C">
        <w:rPr>
          <w:rFonts w:ascii="Calibri" w:hAnsi="Calibri" w:cs="Calibri"/>
          <w:sz w:val="22"/>
          <w:szCs w:val="22"/>
        </w:rPr>
        <w:t xml:space="preserve"> </w:t>
      </w:r>
      <w:r w:rsidRPr="0027202C">
        <w:rPr>
          <w:rFonts w:ascii="Calibri" w:hAnsi="Calibri" w:cs="Calibri"/>
          <w:position w:val="0"/>
          <w:sz w:val="22"/>
          <w:szCs w:val="22"/>
        </w:rPr>
        <w:t>(Dilworth 2003</w:t>
      </w:r>
      <w:r w:rsidR="00FF0763" w:rsidRPr="0027202C">
        <w:rPr>
          <w:rFonts w:ascii="Calibri" w:hAnsi="Calibri" w:cs="Calibri"/>
          <w:sz w:val="22"/>
          <w:szCs w:val="22"/>
        </w:rPr>
        <w:t xml:space="preserve">; </w:t>
      </w:r>
      <w:r w:rsidR="00FF0763" w:rsidRPr="0027202C">
        <w:rPr>
          <w:rFonts w:ascii="Calibri" w:hAnsi="Calibri" w:cs="Calibri"/>
          <w:position w:val="0"/>
          <w:sz w:val="22"/>
          <w:szCs w:val="22"/>
        </w:rPr>
        <w:t>Daigle 2008</w:t>
      </w:r>
      <w:r w:rsidR="00FF0763" w:rsidRPr="0027202C">
        <w:rPr>
          <w:rFonts w:ascii="Calibri" w:hAnsi="Calibri" w:cs="Calibri"/>
          <w:sz w:val="22"/>
          <w:szCs w:val="22"/>
        </w:rPr>
        <w:t xml:space="preserve">; </w:t>
      </w:r>
      <w:r w:rsidRPr="0027202C">
        <w:rPr>
          <w:rFonts w:ascii="Calibri" w:hAnsi="Calibri" w:cs="Calibri"/>
          <w:position w:val="0"/>
          <w:sz w:val="22"/>
          <w:szCs w:val="22"/>
        </w:rPr>
        <w:t xml:space="preserve">White 2007; Mace et al. 2013). We have not found any studies addressing the </w:t>
      </w:r>
      <w:r w:rsidR="00FF0763" w:rsidRPr="0027202C">
        <w:rPr>
          <w:rFonts w:ascii="Calibri" w:hAnsi="Calibri" w:cs="Calibri"/>
          <w:position w:val="0"/>
          <w:sz w:val="22"/>
          <w:szCs w:val="22"/>
        </w:rPr>
        <w:t xml:space="preserve">fact </w:t>
      </w:r>
      <w:r w:rsidRPr="0027202C">
        <w:rPr>
          <w:rFonts w:ascii="Calibri" w:hAnsi="Calibri" w:cs="Calibri"/>
          <w:position w:val="0"/>
          <w:sz w:val="22"/>
          <w:szCs w:val="22"/>
        </w:rPr>
        <w:t>that</w:t>
      </w:r>
      <w:r w:rsidR="00C63430" w:rsidRPr="0027202C">
        <w:rPr>
          <w:rFonts w:ascii="Calibri" w:hAnsi="Calibri" w:cs="Calibri"/>
          <w:position w:val="0"/>
          <w:sz w:val="22"/>
          <w:szCs w:val="22"/>
        </w:rPr>
        <w:t>,</w:t>
      </w:r>
      <w:r w:rsidRPr="0027202C">
        <w:rPr>
          <w:rFonts w:ascii="Calibri" w:hAnsi="Calibri" w:cs="Calibri"/>
          <w:position w:val="0"/>
          <w:sz w:val="22"/>
          <w:szCs w:val="22"/>
        </w:rPr>
        <w:t xml:space="preserve"> as they develop, gateway communities </w:t>
      </w:r>
      <w:r w:rsidR="00FF0763" w:rsidRPr="0027202C">
        <w:rPr>
          <w:rFonts w:ascii="Calibri" w:hAnsi="Calibri" w:cs="Calibri"/>
          <w:position w:val="0"/>
          <w:sz w:val="22"/>
          <w:szCs w:val="22"/>
        </w:rPr>
        <w:t xml:space="preserve">tend to </w:t>
      </w:r>
      <w:r w:rsidRPr="0027202C">
        <w:rPr>
          <w:rFonts w:ascii="Calibri" w:hAnsi="Calibri" w:cs="Calibri"/>
          <w:position w:val="0"/>
          <w:sz w:val="22"/>
          <w:szCs w:val="22"/>
        </w:rPr>
        <w:t>become economic hubs, often with substantial commuter-sheds</w:t>
      </w:r>
      <w:r w:rsidR="009D4BE0" w:rsidRPr="0027202C">
        <w:rPr>
          <w:rFonts w:ascii="Calibri" w:hAnsi="Calibri" w:cs="Calibri"/>
          <w:position w:val="0"/>
          <w:sz w:val="22"/>
          <w:szCs w:val="22"/>
        </w:rPr>
        <w:t>.</w:t>
      </w:r>
      <w:r w:rsidRPr="0027202C">
        <w:rPr>
          <w:rFonts w:ascii="Calibri" w:hAnsi="Calibri" w:cs="Calibri"/>
          <w:position w:val="0"/>
          <w:sz w:val="22"/>
          <w:szCs w:val="22"/>
        </w:rPr>
        <w:t xml:space="preserve"> Existing research </w:t>
      </w:r>
      <w:r w:rsidR="00FF0763" w:rsidRPr="0027202C">
        <w:rPr>
          <w:rFonts w:ascii="Calibri" w:hAnsi="Calibri" w:cs="Calibri"/>
          <w:position w:val="0"/>
          <w:sz w:val="22"/>
          <w:szCs w:val="22"/>
        </w:rPr>
        <w:t>also</w:t>
      </w:r>
      <w:r w:rsidRPr="0027202C">
        <w:rPr>
          <w:rFonts w:ascii="Calibri" w:hAnsi="Calibri" w:cs="Calibri"/>
          <w:position w:val="0"/>
          <w:sz w:val="22"/>
          <w:szCs w:val="22"/>
        </w:rPr>
        <w:t xml:space="preserve"> provide</w:t>
      </w:r>
      <w:r w:rsidR="00FF0763" w:rsidRPr="0027202C">
        <w:rPr>
          <w:rFonts w:ascii="Calibri" w:hAnsi="Calibri" w:cs="Calibri"/>
          <w:position w:val="0"/>
          <w:sz w:val="22"/>
          <w:szCs w:val="22"/>
        </w:rPr>
        <w:t>s little if any</w:t>
      </w:r>
      <w:r w:rsidRPr="0027202C">
        <w:rPr>
          <w:rFonts w:ascii="Calibri" w:hAnsi="Calibri" w:cs="Calibri"/>
          <w:position w:val="0"/>
          <w:sz w:val="22"/>
          <w:szCs w:val="22"/>
        </w:rPr>
        <w:t xml:space="preserve"> insight into housing, transportation, and land use solutions for these “small towns with big city problems.”</w:t>
      </w:r>
      <w:r w:rsidR="008B7B28" w:rsidRPr="0027202C">
        <w:rPr>
          <w:rFonts w:ascii="Calibri" w:hAnsi="Calibri" w:cs="Calibri"/>
          <w:position w:val="0"/>
          <w:sz w:val="22"/>
          <w:szCs w:val="22"/>
        </w:rPr>
        <w:t xml:space="preserve"> </w:t>
      </w:r>
    </w:p>
    <w:p w14:paraId="026E149B" w14:textId="14713C48" w:rsidR="008B7B28" w:rsidRPr="0027202C" w:rsidRDefault="00FF0763" w:rsidP="004C2376">
      <w:pPr>
        <w:suppressAutoHyphens w:val="0"/>
        <w:autoSpaceDE w:val="0"/>
        <w:autoSpaceDN w:val="0"/>
        <w:adjustRightInd w:val="0"/>
        <w:spacing w:before="120" w:after="0" w:line="240" w:lineRule="auto"/>
        <w:ind w:leftChars="0" w:left="0" w:firstLineChars="0" w:firstLine="0"/>
        <w:textDirection w:val="lrTb"/>
        <w:textAlignment w:val="auto"/>
        <w:outlineLvl w:val="9"/>
        <w:rPr>
          <w:rFonts w:ascii="Calibri" w:hAnsi="Calibri" w:cs="Calibri"/>
          <w:position w:val="0"/>
          <w:sz w:val="22"/>
          <w:szCs w:val="22"/>
        </w:rPr>
      </w:pPr>
      <w:r w:rsidRPr="0027202C">
        <w:rPr>
          <w:rFonts w:ascii="Calibri" w:hAnsi="Calibri" w:cs="Calibri"/>
          <w:position w:val="0"/>
          <w:sz w:val="22"/>
          <w:szCs w:val="22"/>
        </w:rPr>
        <w:t xml:space="preserve">While the </w:t>
      </w:r>
      <w:r w:rsidR="004664D7" w:rsidRPr="0027202C">
        <w:rPr>
          <w:rFonts w:ascii="Calibri" w:hAnsi="Calibri" w:cs="Calibri"/>
          <w:position w:val="0"/>
          <w:sz w:val="22"/>
          <w:szCs w:val="22"/>
        </w:rPr>
        <w:t>displacement of workers and creation of commuter-sheds around metropolitan areas is</w:t>
      </w:r>
      <w:r w:rsidRPr="0027202C">
        <w:rPr>
          <w:rFonts w:ascii="Calibri" w:hAnsi="Calibri" w:cs="Calibri"/>
          <w:position w:val="0"/>
          <w:sz w:val="22"/>
          <w:szCs w:val="22"/>
        </w:rPr>
        <w:t xml:space="preserve"> </w:t>
      </w:r>
      <w:r w:rsidR="00FF7DC4" w:rsidRPr="0027202C">
        <w:rPr>
          <w:rFonts w:ascii="Calibri" w:hAnsi="Calibri" w:cs="Calibri"/>
          <w:position w:val="0"/>
          <w:sz w:val="22"/>
          <w:szCs w:val="22"/>
        </w:rPr>
        <w:t xml:space="preserve">well-studied, </w:t>
      </w:r>
      <w:r w:rsidR="008B7B28" w:rsidRPr="0027202C">
        <w:rPr>
          <w:rFonts w:ascii="Calibri" w:hAnsi="Calibri" w:cs="Calibri"/>
          <w:position w:val="0"/>
          <w:sz w:val="22"/>
          <w:szCs w:val="22"/>
        </w:rPr>
        <w:t>we have reason to believe the</w:t>
      </w:r>
      <w:r w:rsidR="00FF7DC4" w:rsidRPr="0027202C">
        <w:rPr>
          <w:rFonts w:ascii="Calibri" w:hAnsi="Calibri" w:cs="Calibri"/>
          <w:position w:val="0"/>
          <w:sz w:val="22"/>
          <w:szCs w:val="22"/>
        </w:rPr>
        <w:t xml:space="preserve"> applicability of that research to gateway communities is limited</w:t>
      </w:r>
      <w:r w:rsidR="008B7B28" w:rsidRPr="0027202C">
        <w:rPr>
          <w:rFonts w:ascii="Calibri" w:hAnsi="Calibri" w:cs="Calibri"/>
          <w:position w:val="0"/>
          <w:sz w:val="22"/>
          <w:szCs w:val="22"/>
        </w:rPr>
        <w:t xml:space="preserve"> </w:t>
      </w:r>
      <w:r w:rsidR="009D4BE0" w:rsidRPr="0027202C">
        <w:rPr>
          <w:rFonts w:ascii="Calibri" w:hAnsi="Calibri" w:cs="Calibri"/>
          <w:position w:val="0"/>
          <w:sz w:val="22"/>
          <w:szCs w:val="22"/>
        </w:rPr>
        <w:t>for several reasons</w:t>
      </w:r>
      <w:r w:rsidR="00FF7DC4" w:rsidRPr="0027202C">
        <w:rPr>
          <w:rFonts w:ascii="Calibri" w:hAnsi="Calibri" w:cs="Calibri"/>
          <w:position w:val="0"/>
          <w:sz w:val="22"/>
          <w:szCs w:val="22"/>
        </w:rPr>
        <w:t>.</w:t>
      </w:r>
      <w:r w:rsidRPr="0027202C">
        <w:rPr>
          <w:rFonts w:ascii="Calibri" w:hAnsi="Calibri" w:cs="Calibri"/>
          <w:position w:val="0"/>
          <w:sz w:val="22"/>
          <w:szCs w:val="22"/>
        </w:rPr>
        <w:t xml:space="preserve"> </w:t>
      </w:r>
      <w:r w:rsidR="004664D7" w:rsidRPr="0027202C">
        <w:rPr>
          <w:rFonts w:ascii="Calibri" w:hAnsi="Calibri" w:cs="Calibri"/>
          <w:position w:val="0"/>
          <w:sz w:val="22"/>
          <w:szCs w:val="22"/>
        </w:rPr>
        <w:t xml:space="preserve">First and foremost, small, rural communities—even those with reasonably high tax revenue—have far fewer resources </w:t>
      </w:r>
      <w:r w:rsidR="00FF7DC4" w:rsidRPr="0027202C">
        <w:rPr>
          <w:rFonts w:ascii="Calibri" w:hAnsi="Calibri" w:cs="Calibri"/>
          <w:position w:val="0"/>
          <w:sz w:val="22"/>
          <w:szCs w:val="22"/>
        </w:rPr>
        <w:t xml:space="preserve">to </w:t>
      </w:r>
      <w:r w:rsidR="004664D7" w:rsidRPr="0027202C">
        <w:rPr>
          <w:rFonts w:ascii="Calibri" w:hAnsi="Calibri" w:cs="Calibri"/>
          <w:position w:val="0"/>
          <w:sz w:val="22"/>
          <w:szCs w:val="22"/>
        </w:rPr>
        <w:t>plan for and creat</w:t>
      </w:r>
      <w:r w:rsidR="00FF7DC4" w:rsidRPr="0027202C">
        <w:rPr>
          <w:rFonts w:ascii="Calibri" w:hAnsi="Calibri" w:cs="Calibri"/>
          <w:position w:val="0"/>
          <w:sz w:val="22"/>
          <w:szCs w:val="22"/>
        </w:rPr>
        <w:t>e</w:t>
      </w:r>
      <w:r w:rsidR="004664D7" w:rsidRPr="0027202C">
        <w:rPr>
          <w:rFonts w:ascii="Calibri" w:hAnsi="Calibri" w:cs="Calibri"/>
          <w:position w:val="0"/>
          <w:sz w:val="22"/>
          <w:szCs w:val="22"/>
        </w:rPr>
        <w:t xml:space="preserve"> transit and other shared, multi-modal transportation systems</w:t>
      </w:r>
      <w:r w:rsidR="00BE382B" w:rsidRPr="0027202C">
        <w:rPr>
          <w:rFonts w:ascii="Calibri" w:hAnsi="Calibri" w:cs="Calibri"/>
          <w:position w:val="0"/>
          <w:sz w:val="22"/>
          <w:szCs w:val="22"/>
        </w:rPr>
        <w:t xml:space="preserve"> than major urban areas</w:t>
      </w:r>
      <w:r w:rsidR="00A31B83" w:rsidRPr="0027202C">
        <w:rPr>
          <w:rFonts w:ascii="Calibri" w:hAnsi="Calibri" w:cs="Calibri"/>
          <w:position w:val="0"/>
          <w:sz w:val="22"/>
          <w:szCs w:val="22"/>
        </w:rPr>
        <w:t xml:space="preserve"> do</w:t>
      </w:r>
      <w:r w:rsidR="004664D7" w:rsidRPr="0027202C">
        <w:rPr>
          <w:rFonts w:ascii="Calibri" w:hAnsi="Calibri" w:cs="Calibri"/>
          <w:position w:val="0"/>
          <w:sz w:val="22"/>
          <w:szCs w:val="22"/>
        </w:rPr>
        <w:t xml:space="preserve">. Additionally, programs and funding sources that are available to larger cities are often not available or appropriate for smaller communities, limiting their options for dealing with these issues. Gateway communities also typically identify with their </w:t>
      </w:r>
      <w:r w:rsidR="000A690E" w:rsidRPr="0027202C">
        <w:rPr>
          <w:rFonts w:ascii="Calibri" w:hAnsi="Calibri" w:cs="Calibri"/>
          <w:position w:val="0"/>
          <w:sz w:val="22"/>
          <w:szCs w:val="22"/>
        </w:rPr>
        <w:t xml:space="preserve">rural, </w:t>
      </w:r>
      <w:r w:rsidR="004664D7" w:rsidRPr="0027202C">
        <w:rPr>
          <w:rFonts w:ascii="Calibri" w:hAnsi="Calibri" w:cs="Calibri"/>
          <w:position w:val="0"/>
          <w:sz w:val="22"/>
          <w:szCs w:val="22"/>
        </w:rPr>
        <w:t>small-</w:t>
      </w:r>
      <w:r w:rsidR="004664D7" w:rsidRPr="0027202C">
        <w:rPr>
          <w:rFonts w:ascii="Calibri" w:hAnsi="Calibri" w:cs="Calibri"/>
          <w:position w:val="0"/>
          <w:sz w:val="22"/>
          <w:szCs w:val="22"/>
        </w:rPr>
        <w:lastRenderedPageBreak/>
        <w:t xml:space="preserve">town </w:t>
      </w:r>
      <w:r w:rsidR="000A690E" w:rsidRPr="0027202C">
        <w:rPr>
          <w:rFonts w:ascii="Calibri" w:hAnsi="Calibri" w:cs="Calibri"/>
          <w:position w:val="0"/>
          <w:sz w:val="22"/>
          <w:szCs w:val="22"/>
        </w:rPr>
        <w:t>character</w:t>
      </w:r>
      <w:r w:rsidR="004664D7" w:rsidRPr="0027202C">
        <w:rPr>
          <w:rFonts w:ascii="Calibri" w:hAnsi="Calibri" w:cs="Calibri"/>
          <w:position w:val="0"/>
          <w:sz w:val="22"/>
          <w:szCs w:val="22"/>
        </w:rPr>
        <w:t xml:space="preserve"> (Stoker et al. 202</w:t>
      </w:r>
      <w:r w:rsidR="009D4BE0" w:rsidRPr="0027202C">
        <w:rPr>
          <w:rFonts w:ascii="Calibri" w:hAnsi="Calibri" w:cs="Calibri"/>
          <w:position w:val="0"/>
          <w:sz w:val="22"/>
          <w:szCs w:val="22"/>
        </w:rPr>
        <w:t>1</w:t>
      </w:r>
      <w:r w:rsidR="004664D7" w:rsidRPr="0027202C">
        <w:rPr>
          <w:rFonts w:ascii="Calibri" w:hAnsi="Calibri" w:cs="Calibri"/>
          <w:position w:val="0"/>
          <w:sz w:val="22"/>
          <w:szCs w:val="22"/>
        </w:rPr>
        <w:t>)</w:t>
      </w:r>
      <w:r w:rsidR="000A690E" w:rsidRPr="0027202C">
        <w:rPr>
          <w:rFonts w:ascii="Calibri" w:hAnsi="Calibri" w:cs="Calibri"/>
          <w:position w:val="0"/>
          <w:sz w:val="22"/>
          <w:szCs w:val="22"/>
        </w:rPr>
        <w:t>; this greatly</w:t>
      </w:r>
      <w:r w:rsidR="004664D7" w:rsidRPr="0027202C">
        <w:rPr>
          <w:rFonts w:ascii="Calibri" w:hAnsi="Calibri" w:cs="Calibri"/>
          <w:position w:val="0"/>
          <w:sz w:val="22"/>
          <w:szCs w:val="22"/>
        </w:rPr>
        <w:t xml:space="preserve"> affects the acceptability of certain housing, transportation, and land use interventions </w:t>
      </w:r>
      <w:r w:rsidR="000A690E" w:rsidRPr="0027202C">
        <w:rPr>
          <w:rFonts w:ascii="Calibri" w:hAnsi="Calibri" w:cs="Calibri"/>
          <w:position w:val="0"/>
          <w:sz w:val="22"/>
          <w:szCs w:val="22"/>
        </w:rPr>
        <w:t xml:space="preserve">that are </w:t>
      </w:r>
      <w:r w:rsidR="004664D7" w:rsidRPr="0027202C">
        <w:rPr>
          <w:rFonts w:ascii="Calibri" w:hAnsi="Calibri" w:cs="Calibri"/>
          <w:position w:val="0"/>
          <w:sz w:val="22"/>
          <w:szCs w:val="22"/>
        </w:rPr>
        <w:t xml:space="preserve">common in urban areas. Further, interconnected housing, transportation, and land use issues remain a significant challenge for many </w:t>
      </w:r>
      <w:r w:rsidR="00FF7DC4" w:rsidRPr="0027202C">
        <w:rPr>
          <w:rFonts w:ascii="Calibri" w:hAnsi="Calibri" w:cs="Calibri"/>
          <w:sz w:val="22"/>
          <w:szCs w:val="22"/>
        </w:rPr>
        <w:t>urban</w:t>
      </w:r>
      <w:r w:rsidR="004664D7" w:rsidRPr="0027202C">
        <w:rPr>
          <w:rFonts w:ascii="Calibri" w:hAnsi="Calibri" w:cs="Calibri"/>
          <w:position w:val="0"/>
          <w:sz w:val="22"/>
          <w:szCs w:val="22"/>
        </w:rPr>
        <w:t xml:space="preserve"> </w:t>
      </w:r>
      <w:proofErr w:type="gramStart"/>
      <w:r w:rsidR="004664D7" w:rsidRPr="0027202C">
        <w:rPr>
          <w:rFonts w:ascii="Calibri" w:hAnsi="Calibri" w:cs="Calibri"/>
          <w:position w:val="0"/>
          <w:sz w:val="22"/>
          <w:szCs w:val="22"/>
        </w:rPr>
        <w:t>areas</w:t>
      </w:r>
      <w:proofErr w:type="gramEnd"/>
      <w:r w:rsidR="004664D7" w:rsidRPr="0027202C">
        <w:rPr>
          <w:rFonts w:ascii="Calibri" w:hAnsi="Calibri" w:cs="Calibri"/>
          <w:position w:val="0"/>
          <w:sz w:val="22"/>
          <w:szCs w:val="22"/>
        </w:rPr>
        <w:t xml:space="preserve"> and we believe cities throughout the country may be able to learn from the experiences of </w:t>
      </w:r>
      <w:r w:rsidR="00BE382B" w:rsidRPr="0027202C">
        <w:rPr>
          <w:rFonts w:ascii="Calibri" w:hAnsi="Calibri" w:cs="Calibri"/>
          <w:position w:val="0"/>
          <w:sz w:val="22"/>
          <w:szCs w:val="22"/>
        </w:rPr>
        <w:t xml:space="preserve">western </w:t>
      </w:r>
      <w:r w:rsidR="004664D7" w:rsidRPr="0027202C">
        <w:rPr>
          <w:rFonts w:ascii="Calibri" w:hAnsi="Calibri" w:cs="Calibri"/>
          <w:position w:val="0"/>
          <w:sz w:val="22"/>
          <w:szCs w:val="22"/>
        </w:rPr>
        <w:t xml:space="preserve">gateway communities, many of which are experimenting with innovative </w:t>
      </w:r>
      <w:r w:rsidR="00A31B83" w:rsidRPr="0027202C">
        <w:rPr>
          <w:rFonts w:ascii="Calibri" w:hAnsi="Calibri" w:cs="Calibri"/>
          <w:position w:val="0"/>
          <w:sz w:val="22"/>
          <w:szCs w:val="22"/>
        </w:rPr>
        <w:t>housing and</w:t>
      </w:r>
      <w:r w:rsidR="004664D7" w:rsidRPr="0027202C">
        <w:rPr>
          <w:rFonts w:ascii="Calibri" w:hAnsi="Calibri" w:cs="Calibri"/>
          <w:position w:val="0"/>
          <w:sz w:val="22"/>
          <w:szCs w:val="22"/>
        </w:rPr>
        <w:t xml:space="preserve"> transportation approaches</w:t>
      </w:r>
      <w:r w:rsidR="00A31B83" w:rsidRPr="0027202C">
        <w:rPr>
          <w:rFonts w:ascii="Calibri" w:hAnsi="Calibri" w:cs="Calibri"/>
          <w:position w:val="0"/>
          <w:sz w:val="22"/>
          <w:szCs w:val="22"/>
        </w:rPr>
        <w:t>.</w:t>
      </w:r>
    </w:p>
    <w:p w14:paraId="7AF0454B" w14:textId="237AB517" w:rsidR="004C2376" w:rsidRPr="0027202C" w:rsidRDefault="00BE382B" w:rsidP="004C2376">
      <w:pPr>
        <w:suppressAutoHyphens w:val="0"/>
        <w:autoSpaceDE w:val="0"/>
        <w:autoSpaceDN w:val="0"/>
        <w:adjustRightInd w:val="0"/>
        <w:spacing w:before="120" w:after="0" w:line="240" w:lineRule="auto"/>
        <w:ind w:leftChars="0" w:left="0" w:firstLineChars="0" w:firstLine="0"/>
        <w:textDirection w:val="lrTb"/>
        <w:textAlignment w:val="auto"/>
        <w:outlineLvl w:val="9"/>
        <w:rPr>
          <w:rFonts w:ascii="Calibri" w:hAnsi="Calibri" w:cs="Calibri"/>
          <w:position w:val="0"/>
          <w:sz w:val="22"/>
          <w:szCs w:val="22"/>
        </w:rPr>
      </w:pPr>
      <w:r w:rsidRPr="0027202C">
        <w:rPr>
          <w:rFonts w:ascii="Calibri" w:hAnsi="Calibri" w:cs="Calibri"/>
          <w:position w:val="0"/>
          <w:sz w:val="22"/>
          <w:szCs w:val="22"/>
        </w:rPr>
        <w:t>This study will address these gaps by</w:t>
      </w:r>
      <w:r w:rsidR="00FF7DC4" w:rsidRPr="0027202C">
        <w:rPr>
          <w:rFonts w:ascii="Calibri" w:hAnsi="Calibri" w:cs="Calibri"/>
          <w:sz w:val="22"/>
          <w:szCs w:val="22"/>
        </w:rPr>
        <w:t xml:space="preserve"> </w:t>
      </w:r>
      <w:r w:rsidR="004664D7" w:rsidRPr="0027202C">
        <w:rPr>
          <w:rFonts w:ascii="Calibri" w:hAnsi="Calibri" w:cs="Calibri"/>
          <w:position w:val="0"/>
          <w:sz w:val="22"/>
          <w:szCs w:val="22"/>
        </w:rPr>
        <w:t xml:space="preserve">exploring the extent to which gateway communities throughout the </w:t>
      </w:r>
      <w:r w:rsidR="00D05ECD" w:rsidRPr="0027202C">
        <w:rPr>
          <w:rFonts w:ascii="Calibri" w:hAnsi="Calibri" w:cs="Calibri"/>
          <w:position w:val="0"/>
          <w:sz w:val="22"/>
          <w:szCs w:val="22"/>
        </w:rPr>
        <w:t>W</w:t>
      </w:r>
      <w:r w:rsidR="004664D7" w:rsidRPr="0027202C">
        <w:rPr>
          <w:rFonts w:ascii="Calibri" w:hAnsi="Calibri" w:cs="Calibri"/>
          <w:position w:val="0"/>
          <w:sz w:val="22"/>
          <w:szCs w:val="22"/>
        </w:rPr>
        <w:t xml:space="preserve">est are experiencing interconnected housing, transportation, and land use issues; how they are responding; and what rural and urban areas throughout the country and internationally can learn from their experiences. </w:t>
      </w:r>
      <w:r w:rsidR="008B7B28" w:rsidRPr="0027202C">
        <w:rPr>
          <w:rFonts w:ascii="Calibri" w:hAnsi="Calibri" w:cs="Calibri"/>
          <w:position w:val="0"/>
          <w:sz w:val="22"/>
          <w:szCs w:val="22"/>
        </w:rPr>
        <w:t xml:space="preserve"> </w:t>
      </w:r>
    </w:p>
    <w:p w14:paraId="4E518664" w14:textId="77777777" w:rsidR="0027202C" w:rsidRDefault="0027202C">
      <w:pPr>
        <w:suppressAutoHyphens w:val="0"/>
        <w:ind w:leftChars="0" w:left="0" w:firstLineChars="0" w:firstLine="0"/>
        <w:textDirection w:val="lrTb"/>
        <w:textAlignment w:val="auto"/>
        <w:outlineLvl w:val="9"/>
        <w:rPr>
          <w:rFonts w:ascii="Tw Cen MT Condensed Extra Bold" w:eastAsia="Times New Roman" w:hAnsi="Tw Cen MT Condensed Extra Bold" w:cs="Times New Roman"/>
          <w:color w:val="262626"/>
          <w:sz w:val="32"/>
          <w:szCs w:val="32"/>
        </w:rPr>
      </w:pPr>
      <w:r>
        <w:br w:type="page"/>
      </w:r>
    </w:p>
    <w:p w14:paraId="3DE57EBE" w14:textId="74CF4330" w:rsidR="008020AB" w:rsidRDefault="005F6EC4" w:rsidP="004076AD">
      <w:pPr>
        <w:pStyle w:val="Heading1"/>
        <w:spacing w:before="0"/>
        <w:ind w:leftChars="0" w:left="0" w:firstLineChars="0" w:firstLine="0"/>
      </w:pPr>
      <w:r>
        <w:lastRenderedPageBreak/>
        <w:t xml:space="preserve">THEME AND FUNDING GOALS </w:t>
      </w:r>
    </w:p>
    <w:p w14:paraId="43B632DA" w14:textId="7D2C31A2" w:rsidR="008C2CEE" w:rsidRPr="00D75C96" w:rsidRDefault="008C2CEE" w:rsidP="008B7B28">
      <w:pPr>
        <w:pStyle w:val="BodyText"/>
        <w:spacing w:before="16"/>
        <w:ind w:right="478"/>
        <w:rPr>
          <w:rFonts w:ascii="Calibri" w:eastAsia="Georgia" w:hAnsi="Calibri" w:cs="Calibri"/>
          <w:sz w:val="22"/>
          <w:szCs w:val="22"/>
        </w:rPr>
      </w:pPr>
      <w:r w:rsidRPr="00D75C96">
        <w:rPr>
          <w:rFonts w:ascii="Calibri" w:eastAsia="Georgia" w:hAnsi="Calibri" w:cs="Calibri"/>
          <w:sz w:val="22"/>
          <w:szCs w:val="22"/>
        </w:rPr>
        <w:t xml:space="preserve">The findings of our </w:t>
      </w:r>
      <w:r w:rsidR="00294358" w:rsidRPr="00D75C96">
        <w:rPr>
          <w:rFonts w:ascii="Calibri" w:eastAsia="Georgia" w:hAnsi="Calibri" w:cs="Calibri"/>
          <w:sz w:val="22"/>
          <w:szCs w:val="22"/>
        </w:rPr>
        <w:t xml:space="preserve">2018 </w:t>
      </w:r>
      <w:r w:rsidRPr="00D75C96">
        <w:rPr>
          <w:rFonts w:ascii="Calibri" w:eastAsia="Georgia" w:hAnsi="Calibri" w:cs="Calibri"/>
          <w:sz w:val="22"/>
          <w:szCs w:val="22"/>
        </w:rPr>
        <w:t xml:space="preserve">NITC-funded study </w:t>
      </w:r>
      <w:r w:rsidR="00294358" w:rsidRPr="00D75C96">
        <w:rPr>
          <w:rFonts w:ascii="Calibri" w:eastAsia="Georgia" w:hAnsi="Calibri" w:cs="Calibri"/>
          <w:sz w:val="22"/>
          <w:szCs w:val="22"/>
        </w:rPr>
        <w:t xml:space="preserve">highlight the fact that gateway communities, which </w:t>
      </w:r>
      <w:r w:rsidRPr="00D75C96">
        <w:rPr>
          <w:rFonts w:ascii="Calibri" w:eastAsia="Georgia" w:hAnsi="Calibri" w:cs="Calibri"/>
          <w:sz w:val="22"/>
          <w:szCs w:val="22"/>
        </w:rPr>
        <w:t>constitute a significant portion of the western United State</w:t>
      </w:r>
      <w:r w:rsidR="00294358" w:rsidRPr="00D75C96">
        <w:rPr>
          <w:rFonts w:ascii="Calibri" w:eastAsia="Georgia" w:hAnsi="Calibri" w:cs="Calibri"/>
          <w:sz w:val="22"/>
          <w:szCs w:val="22"/>
        </w:rPr>
        <w:t>s</w:t>
      </w:r>
      <w:r w:rsidR="00F64A24" w:rsidRPr="00D75C96">
        <w:rPr>
          <w:rFonts w:ascii="Calibri" w:eastAsia="Georgia" w:hAnsi="Calibri" w:cs="Calibri"/>
          <w:sz w:val="22"/>
          <w:szCs w:val="22"/>
        </w:rPr>
        <w:t xml:space="preserve"> but have thus far been understudied</w:t>
      </w:r>
      <w:r w:rsidR="00294358" w:rsidRPr="00D75C96">
        <w:rPr>
          <w:rFonts w:ascii="Calibri" w:eastAsia="Georgia" w:hAnsi="Calibri" w:cs="Calibri"/>
          <w:sz w:val="22"/>
          <w:szCs w:val="22"/>
        </w:rPr>
        <w:t xml:space="preserve">, tend to experience interconnected housing, income inequality, and transportation challenges as they develop. Our results also suggest these issues are directly tied to regional land use concerns and present a key threat to </w:t>
      </w:r>
      <w:r w:rsidR="00E00E14" w:rsidRPr="00D75C96">
        <w:rPr>
          <w:rFonts w:ascii="Calibri" w:eastAsia="Georgia" w:hAnsi="Calibri" w:cs="Calibri"/>
          <w:sz w:val="22"/>
          <w:szCs w:val="22"/>
        </w:rPr>
        <w:t xml:space="preserve">mobility, </w:t>
      </w:r>
      <w:r w:rsidR="00294358" w:rsidRPr="00D75C96">
        <w:rPr>
          <w:rFonts w:ascii="Calibri" w:eastAsia="Georgia" w:hAnsi="Calibri" w:cs="Calibri"/>
          <w:sz w:val="22"/>
          <w:szCs w:val="22"/>
        </w:rPr>
        <w:t>access to opportunit</w:t>
      </w:r>
      <w:r w:rsidR="00CB3B02" w:rsidRPr="00D75C96">
        <w:rPr>
          <w:rFonts w:ascii="Calibri" w:eastAsia="Georgia" w:hAnsi="Calibri" w:cs="Calibri"/>
          <w:sz w:val="22"/>
          <w:szCs w:val="22"/>
        </w:rPr>
        <w:t>y,</w:t>
      </w:r>
      <w:r w:rsidR="00294358" w:rsidRPr="00D75C96">
        <w:rPr>
          <w:rFonts w:ascii="Calibri" w:eastAsia="Georgia" w:hAnsi="Calibri" w:cs="Calibri"/>
          <w:sz w:val="22"/>
          <w:szCs w:val="22"/>
        </w:rPr>
        <w:t xml:space="preserve"> </w:t>
      </w:r>
      <w:r w:rsidR="00E00E14" w:rsidRPr="00D75C96">
        <w:rPr>
          <w:rFonts w:ascii="Calibri" w:eastAsia="Georgia" w:hAnsi="Calibri" w:cs="Calibri"/>
          <w:sz w:val="22"/>
          <w:szCs w:val="22"/>
        </w:rPr>
        <w:t>e</w:t>
      </w:r>
      <w:r w:rsidR="00294358" w:rsidRPr="00D75C96">
        <w:rPr>
          <w:rFonts w:ascii="Calibri" w:eastAsia="Georgia" w:hAnsi="Calibri" w:cs="Calibri"/>
          <w:sz w:val="22"/>
          <w:szCs w:val="22"/>
        </w:rPr>
        <w:t>quity</w:t>
      </w:r>
      <w:r w:rsidR="00E00E14" w:rsidRPr="00D75C96">
        <w:rPr>
          <w:rFonts w:ascii="Calibri" w:eastAsia="Georgia" w:hAnsi="Calibri" w:cs="Calibri"/>
          <w:sz w:val="22"/>
          <w:szCs w:val="22"/>
        </w:rPr>
        <w:t xml:space="preserve">, </w:t>
      </w:r>
      <w:r w:rsidR="00294358" w:rsidRPr="00D75C96">
        <w:rPr>
          <w:rFonts w:ascii="Calibri" w:eastAsia="Georgia" w:hAnsi="Calibri" w:cs="Calibri"/>
          <w:sz w:val="22"/>
          <w:szCs w:val="22"/>
        </w:rPr>
        <w:t xml:space="preserve">and the </w:t>
      </w:r>
      <w:r w:rsidR="00810E66" w:rsidRPr="00D75C96">
        <w:rPr>
          <w:rFonts w:ascii="Calibri" w:eastAsia="Georgia" w:hAnsi="Calibri" w:cs="Calibri"/>
          <w:sz w:val="22"/>
          <w:szCs w:val="22"/>
        </w:rPr>
        <w:t xml:space="preserve">overall </w:t>
      </w:r>
      <w:r w:rsidR="00294358" w:rsidRPr="00D75C96">
        <w:rPr>
          <w:rFonts w:ascii="Calibri" w:eastAsia="Georgia" w:hAnsi="Calibri" w:cs="Calibri"/>
          <w:sz w:val="22"/>
          <w:szCs w:val="22"/>
        </w:rPr>
        <w:t>economic and social wellbeing of</w:t>
      </w:r>
      <w:r w:rsidR="00E00E14" w:rsidRPr="00D75C96">
        <w:rPr>
          <w:rFonts w:ascii="Calibri" w:eastAsia="Georgia" w:hAnsi="Calibri" w:cs="Calibri"/>
          <w:sz w:val="22"/>
          <w:szCs w:val="22"/>
        </w:rPr>
        <w:t xml:space="preserve"> </w:t>
      </w:r>
      <w:r w:rsidR="00294358" w:rsidRPr="00D75C96">
        <w:rPr>
          <w:rFonts w:ascii="Calibri" w:eastAsia="Georgia" w:hAnsi="Calibri" w:cs="Calibri"/>
          <w:sz w:val="22"/>
          <w:szCs w:val="22"/>
        </w:rPr>
        <w:t xml:space="preserve">these </w:t>
      </w:r>
      <w:r w:rsidR="000A690E" w:rsidRPr="00D75C96">
        <w:rPr>
          <w:rFonts w:ascii="Calibri" w:eastAsia="Georgia" w:hAnsi="Calibri" w:cs="Calibri"/>
          <w:sz w:val="22"/>
          <w:szCs w:val="22"/>
        </w:rPr>
        <w:t>towns and cities</w:t>
      </w:r>
      <w:r w:rsidR="00294358" w:rsidRPr="00D75C96">
        <w:rPr>
          <w:rFonts w:ascii="Calibri" w:eastAsia="Georgia" w:hAnsi="Calibri" w:cs="Calibri"/>
          <w:sz w:val="22"/>
          <w:szCs w:val="22"/>
        </w:rPr>
        <w:t xml:space="preserve"> and the regions around the</w:t>
      </w:r>
      <w:r w:rsidR="00F64A24" w:rsidRPr="00D75C96">
        <w:rPr>
          <w:rFonts w:ascii="Calibri" w:eastAsia="Georgia" w:hAnsi="Calibri" w:cs="Calibri"/>
          <w:sz w:val="22"/>
          <w:szCs w:val="22"/>
        </w:rPr>
        <w:t xml:space="preserve">m. </w:t>
      </w:r>
      <w:r w:rsidRPr="00D75C96">
        <w:rPr>
          <w:rFonts w:ascii="Calibri" w:eastAsia="Georgia" w:hAnsi="Calibri" w:cs="Calibri"/>
          <w:sz w:val="22"/>
          <w:szCs w:val="22"/>
        </w:rPr>
        <w:t>Our observation</w:t>
      </w:r>
      <w:r w:rsidR="00D033FF" w:rsidRPr="00D75C96">
        <w:rPr>
          <w:rFonts w:ascii="Calibri" w:eastAsia="Georgia" w:hAnsi="Calibri" w:cs="Calibri"/>
          <w:sz w:val="22"/>
          <w:szCs w:val="22"/>
        </w:rPr>
        <w:t>s</w:t>
      </w:r>
      <w:r w:rsidRPr="00D75C96">
        <w:rPr>
          <w:rFonts w:ascii="Calibri" w:eastAsia="Georgia" w:hAnsi="Calibri" w:cs="Calibri"/>
          <w:sz w:val="22"/>
          <w:szCs w:val="22"/>
        </w:rPr>
        <w:t xml:space="preserve"> suggest that shortages of housing and cost of living issues disproportionally affect minority </w:t>
      </w:r>
      <w:r w:rsidR="00294358" w:rsidRPr="00D75C96">
        <w:rPr>
          <w:rFonts w:ascii="Calibri" w:eastAsia="Georgia" w:hAnsi="Calibri" w:cs="Calibri"/>
          <w:sz w:val="22"/>
          <w:szCs w:val="22"/>
        </w:rPr>
        <w:t xml:space="preserve">and lower economic status </w:t>
      </w:r>
      <w:r w:rsidRPr="00D75C96">
        <w:rPr>
          <w:rFonts w:ascii="Calibri" w:eastAsia="Georgia" w:hAnsi="Calibri" w:cs="Calibri"/>
          <w:sz w:val="22"/>
          <w:szCs w:val="22"/>
        </w:rPr>
        <w:t>populations in gateway communities</w:t>
      </w:r>
      <w:r w:rsidR="000A690E" w:rsidRPr="00D75C96">
        <w:rPr>
          <w:rFonts w:ascii="Calibri" w:eastAsia="Georgia" w:hAnsi="Calibri" w:cs="Calibri"/>
          <w:sz w:val="22"/>
          <w:szCs w:val="22"/>
        </w:rPr>
        <w:t xml:space="preserve"> (</w:t>
      </w:r>
      <w:r w:rsidRPr="00D75C96">
        <w:rPr>
          <w:rFonts w:ascii="Calibri" w:eastAsia="Georgia" w:hAnsi="Calibri" w:cs="Calibri"/>
          <w:sz w:val="22"/>
          <w:szCs w:val="22"/>
        </w:rPr>
        <w:t xml:space="preserve">which often have surprisingly </w:t>
      </w:r>
      <w:r w:rsidR="0030766D" w:rsidRPr="00D75C96">
        <w:rPr>
          <w:rFonts w:ascii="Calibri" w:eastAsia="Georgia" w:hAnsi="Calibri" w:cs="Calibri"/>
          <w:sz w:val="22"/>
          <w:szCs w:val="22"/>
        </w:rPr>
        <w:t xml:space="preserve">racially, ethnically, and socio-economically </w:t>
      </w:r>
      <w:r w:rsidRPr="00D75C96">
        <w:rPr>
          <w:rFonts w:ascii="Calibri" w:eastAsia="Georgia" w:hAnsi="Calibri" w:cs="Calibri"/>
          <w:sz w:val="22"/>
          <w:szCs w:val="22"/>
        </w:rPr>
        <w:t>diverse populations for rural western communities</w:t>
      </w:r>
      <w:r w:rsidR="000A690E" w:rsidRPr="00D75C96">
        <w:rPr>
          <w:rFonts w:ascii="Calibri" w:eastAsia="Georgia" w:hAnsi="Calibri" w:cs="Calibri"/>
          <w:sz w:val="22"/>
          <w:szCs w:val="22"/>
        </w:rPr>
        <w:t>)</w:t>
      </w:r>
      <w:r w:rsidRPr="00D75C96">
        <w:rPr>
          <w:rFonts w:ascii="Calibri" w:eastAsia="Georgia" w:hAnsi="Calibri" w:cs="Calibri"/>
          <w:sz w:val="22"/>
          <w:szCs w:val="22"/>
        </w:rPr>
        <w:t xml:space="preserve">. Through examining the interconnected housing, transportation, and land use challenges being experienced by gateway communities and what these places are doing to respond, we anticipate this study will generate insight into barriers to access and illuminate ways to improve </w:t>
      </w:r>
      <w:r w:rsidR="001F622A" w:rsidRPr="00D75C96">
        <w:rPr>
          <w:rFonts w:ascii="Calibri" w:eastAsia="Georgia" w:hAnsi="Calibri" w:cs="Calibri"/>
          <w:sz w:val="22"/>
          <w:szCs w:val="22"/>
        </w:rPr>
        <w:t xml:space="preserve">and protect </w:t>
      </w:r>
      <w:r w:rsidRPr="00D75C96">
        <w:rPr>
          <w:rFonts w:ascii="Calibri" w:eastAsia="Georgia" w:hAnsi="Calibri" w:cs="Calibri"/>
          <w:sz w:val="22"/>
          <w:szCs w:val="22"/>
        </w:rPr>
        <w:t>accessibility, affordability,</w:t>
      </w:r>
      <w:r w:rsidR="000A690E" w:rsidRPr="00D75C96">
        <w:rPr>
          <w:rFonts w:ascii="Calibri" w:eastAsia="Georgia" w:hAnsi="Calibri" w:cs="Calibri"/>
          <w:sz w:val="22"/>
          <w:szCs w:val="22"/>
        </w:rPr>
        <w:t xml:space="preserve"> </w:t>
      </w:r>
      <w:r w:rsidRPr="00D75C96">
        <w:rPr>
          <w:rFonts w:ascii="Calibri" w:eastAsia="Georgia" w:hAnsi="Calibri" w:cs="Calibri"/>
          <w:sz w:val="22"/>
          <w:szCs w:val="22"/>
        </w:rPr>
        <w:t>equity</w:t>
      </w:r>
      <w:r w:rsidR="001F622A" w:rsidRPr="00D75C96">
        <w:rPr>
          <w:rFonts w:ascii="Calibri" w:eastAsia="Georgia" w:hAnsi="Calibri" w:cs="Calibri"/>
          <w:sz w:val="22"/>
          <w:szCs w:val="22"/>
        </w:rPr>
        <w:t>, and quality of life</w:t>
      </w:r>
      <w:r w:rsidRPr="00D75C96">
        <w:rPr>
          <w:rFonts w:ascii="Calibri" w:eastAsia="Georgia" w:hAnsi="Calibri" w:cs="Calibri"/>
          <w:sz w:val="22"/>
          <w:szCs w:val="22"/>
        </w:rPr>
        <w:t xml:space="preserve"> in gateway communities and other rural and urban communities throughout the country. We also anticipate this study will illuminate the need for, innovative approaches fo</w:t>
      </w:r>
      <w:r w:rsidR="000A690E" w:rsidRPr="00D75C96">
        <w:rPr>
          <w:rFonts w:ascii="Calibri" w:eastAsia="Georgia" w:hAnsi="Calibri" w:cs="Calibri"/>
          <w:sz w:val="22"/>
          <w:szCs w:val="22"/>
        </w:rPr>
        <w:t xml:space="preserve">r, </w:t>
      </w:r>
      <w:r w:rsidRPr="00D75C96">
        <w:rPr>
          <w:rFonts w:ascii="Calibri" w:eastAsia="Georgia" w:hAnsi="Calibri" w:cs="Calibri"/>
          <w:sz w:val="22"/>
          <w:szCs w:val="22"/>
        </w:rPr>
        <w:t>and barriers to the development of</w:t>
      </w:r>
      <w:r w:rsidR="000A690E" w:rsidRPr="00D75C96">
        <w:rPr>
          <w:rFonts w:ascii="Calibri" w:eastAsia="Georgia" w:hAnsi="Calibri" w:cs="Calibri"/>
          <w:sz w:val="22"/>
          <w:szCs w:val="22"/>
        </w:rPr>
        <w:t xml:space="preserve"> </w:t>
      </w:r>
      <w:r w:rsidRPr="00D75C96">
        <w:rPr>
          <w:rFonts w:ascii="Calibri" w:eastAsia="Georgia" w:hAnsi="Calibri" w:cs="Calibri"/>
          <w:sz w:val="22"/>
          <w:szCs w:val="22"/>
        </w:rPr>
        <w:t xml:space="preserve">regional multi-modal transportation and shared use of infrastructure in </w:t>
      </w:r>
      <w:r w:rsidR="000A690E" w:rsidRPr="00D75C96">
        <w:rPr>
          <w:rFonts w:ascii="Calibri" w:eastAsia="Georgia" w:hAnsi="Calibri" w:cs="Calibri"/>
          <w:sz w:val="22"/>
          <w:szCs w:val="22"/>
        </w:rPr>
        <w:t>high-natural amenity</w:t>
      </w:r>
      <w:r w:rsidRPr="00D75C96">
        <w:rPr>
          <w:rFonts w:ascii="Calibri" w:eastAsia="Georgia" w:hAnsi="Calibri" w:cs="Calibri"/>
          <w:sz w:val="22"/>
          <w:szCs w:val="22"/>
        </w:rPr>
        <w:t xml:space="preserve"> regions</w:t>
      </w:r>
      <w:r w:rsidR="000A690E" w:rsidRPr="00D75C96">
        <w:rPr>
          <w:rFonts w:ascii="Calibri" w:eastAsia="Georgia" w:hAnsi="Calibri" w:cs="Calibri"/>
          <w:sz w:val="22"/>
          <w:szCs w:val="22"/>
        </w:rPr>
        <w:t xml:space="preserve"> (whether rural gateway regions or</w:t>
      </w:r>
      <w:r w:rsidR="0021443F" w:rsidRPr="00D75C96">
        <w:rPr>
          <w:rFonts w:ascii="Calibri" w:eastAsia="Georgia" w:hAnsi="Calibri" w:cs="Calibri"/>
          <w:sz w:val="22"/>
          <w:szCs w:val="22"/>
        </w:rPr>
        <w:t xml:space="preserve"> </w:t>
      </w:r>
      <w:r w:rsidR="00A31B83" w:rsidRPr="00D75C96">
        <w:rPr>
          <w:rFonts w:ascii="Calibri" w:eastAsia="Georgia" w:hAnsi="Calibri" w:cs="Calibri"/>
          <w:sz w:val="22"/>
          <w:szCs w:val="22"/>
        </w:rPr>
        <w:t>the Cottonwood Canyons abutting</w:t>
      </w:r>
      <w:r w:rsidR="000A690E" w:rsidRPr="00D75C96">
        <w:rPr>
          <w:rFonts w:ascii="Calibri" w:eastAsia="Georgia" w:hAnsi="Calibri" w:cs="Calibri"/>
          <w:sz w:val="22"/>
          <w:szCs w:val="22"/>
        </w:rPr>
        <w:t xml:space="preserve"> Salt Lake Valley in Utah)</w:t>
      </w:r>
      <w:r w:rsidRPr="00D75C96">
        <w:rPr>
          <w:rFonts w:ascii="Calibri" w:eastAsia="Georgia" w:hAnsi="Calibri" w:cs="Calibri"/>
          <w:sz w:val="22"/>
          <w:szCs w:val="22"/>
        </w:rPr>
        <w:t xml:space="preserve">. This study will produce data and tools to assist gateway and other communities in understanding their interconnected transportation, housing, and land use challenges and ways of effectively planning for and responding to these challenges. </w:t>
      </w:r>
      <w:r w:rsidR="000A690E" w:rsidRPr="00D75C96">
        <w:rPr>
          <w:rFonts w:ascii="Calibri" w:eastAsia="Georgia" w:hAnsi="Calibri" w:cs="Calibri"/>
          <w:sz w:val="22"/>
          <w:szCs w:val="22"/>
        </w:rPr>
        <w:t>Related to that, we anticipate this study will shed light on novel and inventive mobility options and ways of collecting traveler data that might inform approaches used not only in gateway communities but also in metropolitan areas. Further,</w:t>
      </w:r>
      <w:r w:rsidRPr="00D75C96">
        <w:rPr>
          <w:rFonts w:ascii="Calibri" w:eastAsia="Georgia" w:hAnsi="Calibri" w:cs="Calibri"/>
          <w:sz w:val="22"/>
          <w:szCs w:val="22"/>
        </w:rPr>
        <w:t xml:space="preserve"> the results of this study—in conjunction with </w:t>
      </w:r>
      <w:r w:rsidR="000A690E" w:rsidRPr="00D75C96">
        <w:rPr>
          <w:rFonts w:ascii="Calibri" w:eastAsia="Georgia" w:hAnsi="Calibri" w:cs="Calibri"/>
          <w:sz w:val="22"/>
          <w:szCs w:val="22"/>
        </w:rPr>
        <w:t xml:space="preserve">our team’s </w:t>
      </w:r>
      <w:r w:rsidRPr="00D75C96">
        <w:rPr>
          <w:rFonts w:ascii="Calibri" w:eastAsia="Georgia" w:hAnsi="Calibri" w:cs="Calibri"/>
          <w:sz w:val="22"/>
          <w:szCs w:val="22"/>
        </w:rPr>
        <w:t>ongoing N</w:t>
      </w:r>
      <w:r w:rsidR="001F622A" w:rsidRPr="00D75C96">
        <w:rPr>
          <w:rFonts w:ascii="Calibri" w:eastAsia="Georgia" w:hAnsi="Calibri" w:cs="Calibri"/>
          <w:sz w:val="22"/>
          <w:szCs w:val="22"/>
        </w:rPr>
        <w:t xml:space="preserve">ational </w:t>
      </w:r>
      <w:r w:rsidRPr="00D75C96">
        <w:rPr>
          <w:rFonts w:ascii="Calibri" w:eastAsia="Georgia" w:hAnsi="Calibri" w:cs="Calibri"/>
          <w:sz w:val="22"/>
          <w:szCs w:val="22"/>
        </w:rPr>
        <w:t>S</w:t>
      </w:r>
      <w:r w:rsidR="001F622A" w:rsidRPr="00D75C96">
        <w:rPr>
          <w:rFonts w:ascii="Calibri" w:eastAsia="Georgia" w:hAnsi="Calibri" w:cs="Calibri"/>
          <w:sz w:val="22"/>
          <w:szCs w:val="22"/>
        </w:rPr>
        <w:t xml:space="preserve">cience </w:t>
      </w:r>
      <w:r w:rsidRPr="00D75C96">
        <w:rPr>
          <w:rFonts w:ascii="Calibri" w:eastAsia="Georgia" w:hAnsi="Calibri" w:cs="Calibri"/>
          <w:sz w:val="22"/>
          <w:szCs w:val="22"/>
        </w:rPr>
        <w:t>F</w:t>
      </w:r>
      <w:r w:rsidR="001F622A" w:rsidRPr="00D75C96">
        <w:rPr>
          <w:rFonts w:ascii="Calibri" w:eastAsia="Georgia" w:hAnsi="Calibri" w:cs="Calibri"/>
          <w:sz w:val="22"/>
          <w:szCs w:val="22"/>
        </w:rPr>
        <w:t>oundation</w:t>
      </w:r>
      <w:r w:rsidR="00F421A4" w:rsidRPr="00D75C96">
        <w:rPr>
          <w:rFonts w:ascii="Calibri" w:eastAsia="Georgia" w:hAnsi="Calibri" w:cs="Calibri"/>
          <w:sz w:val="22"/>
          <w:szCs w:val="22"/>
        </w:rPr>
        <w:t>-</w:t>
      </w:r>
      <w:r w:rsidRPr="00D75C96">
        <w:rPr>
          <w:rFonts w:ascii="Calibri" w:eastAsia="Georgia" w:hAnsi="Calibri" w:cs="Calibri"/>
          <w:sz w:val="22"/>
          <w:szCs w:val="22"/>
        </w:rPr>
        <w:t>funded research—will help us work toward creating interactive models and planning</w:t>
      </w:r>
      <w:r w:rsidR="000A690E" w:rsidRPr="00D75C96">
        <w:rPr>
          <w:rFonts w:ascii="Calibri" w:eastAsia="Georgia" w:hAnsi="Calibri" w:cs="Calibri"/>
          <w:sz w:val="22"/>
          <w:szCs w:val="22"/>
        </w:rPr>
        <w:t xml:space="preserve"> support</w:t>
      </w:r>
      <w:r w:rsidRPr="00D75C96">
        <w:rPr>
          <w:rFonts w:ascii="Calibri" w:eastAsia="Georgia" w:hAnsi="Calibri" w:cs="Calibri"/>
          <w:sz w:val="22"/>
          <w:szCs w:val="22"/>
        </w:rPr>
        <w:t xml:space="preserve"> tools that can be used by gateway communities throughout the </w:t>
      </w:r>
      <w:r w:rsidR="0021443F" w:rsidRPr="00D75C96">
        <w:rPr>
          <w:rFonts w:ascii="Calibri" w:eastAsia="Georgia" w:hAnsi="Calibri" w:cs="Calibri"/>
          <w:sz w:val="22"/>
          <w:szCs w:val="22"/>
        </w:rPr>
        <w:t>W</w:t>
      </w:r>
      <w:r w:rsidRPr="00D75C96">
        <w:rPr>
          <w:rFonts w:ascii="Calibri" w:eastAsia="Georgia" w:hAnsi="Calibri" w:cs="Calibri"/>
          <w:sz w:val="22"/>
          <w:szCs w:val="22"/>
        </w:rPr>
        <w:t>est and nationally</w:t>
      </w:r>
      <w:r w:rsidR="008A13F1" w:rsidRPr="00D75C96">
        <w:rPr>
          <w:rFonts w:ascii="Calibri" w:eastAsia="Georgia" w:hAnsi="Calibri" w:cs="Calibri"/>
          <w:sz w:val="22"/>
          <w:szCs w:val="22"/>
        </w:rPr>
        <w:t xml:space="preserve"> (</w:t>
      </w:r>
      <w:r w:rsidR="00A31B83" w:rsidRPr="00D75C96">
        <w:rPr>
          <w:rFonts w:ascii="Calibri" w:eastAsia="Georgia" w:hAnsi="Calibri" w:cs="Calibri"/>
          <w:sz w:val="22"/>
          <w:szCs w:val="22"/>
        </w:rPr>
        <w:t>a</w:t>
      </w:r>
      <w:r w:rsidRPr="00D75C96">
        <w:rPr>
          <w:rFonts w:ascii="Calibri" w:eastAsia="Georgia" w:hAnsi="Calibri" w:cs="Calibri"/>
          <w:sz w:val="22"/>
          <w:szCs w:val="22"/>
        </w:rPr>
        <w:t>s well as perhaps by other kinds of communities</w:t>
      </w:r>
      <w:r w:rsidR="008A13F1" w:rsidRPr="00D75C96">
        <w:rPr>
          <w:rFonts w:ascii="Calibri" w:eastAsia="Georgia" w:hAnsi="Calibri" w:cs="Calibri"/>
          <w:sz w:val="22"/>
          <w:szCs w:val="22"/>
        </w:rPr>
        <w:t xml:space="preserve">) </w:t>
      </w:r>
      <w:r w:rsidRPr="00D75C96">
        <w:rPr>
          <w:rFonts w:ascii="Calibri" w:eastAsia="Georgia" w:hAnsi="Calibri" w:cs="Calibri"/>
          <w:sz w:val="22"/>
          <w:szCs w:val="22"/>
        </w:rPr>
        <w:t>to plan for growth</w:t>
      </w:r>
      <w:r w:rsidR="00A31B83" w:rsidRPr="00D75C96">
        <w:rPr>
          <w:rFonts w:ascii="Calibri" w:eastAsia="Georgia" w:hAnsi="Calibri" w:cs="Calibri"/>
          <w:sz w:val="22"/>
          <w:szCs w:val="22"/>
        </w:rPr>
        <w:t>, visitation,</w:t>
      </w:r>
      <w:r w:rsidRPr="00D75C96">
        <w:rPr>
          <w:rFonts w:ascii="Calibri" w:eastAsia="Georgia" w:hAnsi="Calibri" w:cs="Calibri"/>
          <w:sz w:val="22"/>
          <w:szCs w:val="22"/>
        </w:rPr>
        <w:t xml:space="preserve"> and development pressures a</w:t>
      </w:r>
      <w:r w:rsidR="008A13F1" w:rsidRPr="00D75C96">
        <w:rPr>
          <w:rFonts w:ascii="Calibri" w:eastAsia="Georgia" w:hAnsi="Calibri" w:cs="Calibri"/>
          <w:sz w:val="22"/>
          <w:szCs w:val="22"/>
        </w:rPr>
        <w:t xml:space="preserve">nd </w:t>
      </w:r>
      <w:r w:rsidRPr="00D75C96">
        <w:rPr>
          <w:rFonts w:ascii="Calibri" w:eastAsia="Georgia" w:hAnsi="Calibri" w:cs="Calibri"/>
          <w:sz w:val="22"/>
          <w:szCs w:val="22"/>
        </w:rPr>
        <w:t>external shocks, such as the impacts of COVID-19</w:t>
      </w:r>
      <w:r w:rsidR="00294358" w:rsidRPr="00D75C96">
        <w:rPr>
          <w:rFonts w:ascii="Calibri" w:eastAsia="Georgia" w:hAnsi="Calibri" w:cs="Calibri"/>
          <w:sz w:val="22"/>
          <w:szCs w:val="22"/>
        </w:rPr>
        <w:t xml:space="preserve"> and related </w:t>
      </w:r>
      <w:r w:rsidR="00A31B83" w:rsidRPr="00D75C96">
        <w:rPr>
          <w:rFonts w:ascii="Calibri" w:eastAsia="Georgia" w:hAnsi="Calibri" w:cs="Calibri"/>
          <w:sz w:val="22"/>
          <w:szCs w:val="22"/>
        </w:rPr>
        <w:t>impacts on visitation, service economies,</w:t>
      </w:r>
      <w:r w:rsidR="00294358" w:rsidRPr="00D75C96">
        <w:rPr>
          <w:rFonts w:ascii="Calibri" w:eastAsia="Georgia" w:hAnsi="Calibri" w:cs="Calibri"/>
          <w:sz w:val="22"/>
          <w:szCs w:val="22"/>
        </w:rPr>
        <w:t xml:space="preserve"> and amenity migration</w:t>
      </w:r>
      <w:r w:rsidRPr="00D75C96">
        <w:rPr>
          <w:rFonts w:ascii="Calibri" w:eastAsia="Georgia" w:hAnsi="Calibri" w:cs="Calibri"/>
          <w:sz w:val="22"/>
          <w:szCs w:val="22"/>
        </w:rPr>
        <w:t>.</w:t>
      </w:r>
    </w:p>
    <w:p w14:paraId="3FC9BB19" w14:textId="77777777" w:rsidR="008C2CEE" w:rsidRDefault="008C2CEE" w:rsidP="008C2CEE">
      <w:pPr>
        <w:spacing w:line="240" w:lineRule="auto"/>
        <w:ind w:leftChars="0" w:left="0" w:firstLineChars="0" w:hanging="2"/>
      </w:pPr>
    </w:p>
    <w:p w14:paraId="0B627D3E" w14:textId="77777777" w:rsidR="008C2CEE" w:rsidRDefault="008C2CEE">
      <w:pPr>
        <w:suppressAutoHyphens w:val="0"/>
        <w:ind w:leftChars="0" w:left="0" w:firstLineChars="0" w:firstLine="0"/>
        <w:textDirection w:val="lrTb"/>
        <w:textAlignment w:val="auto"/>
        <w:outlineLvl w:val="9"/>
        <w:rPr>
          <w:rFonts w:ascii="Tw Cen MT Condensed Extra Bold" w:eastAsia="Times New Roman" w:hAnsi="Tw Cen MT Condensed Extra Bold" w:cs="Times New Roman"/>
          <w:color w:val="262626"/>
          <w:sz w:val="32"/>
          <w:szCs w:val="32"/>
        </w:rPr>
      </w:pPr>
      <w:r>
        <w:br w:type="page"/>
      </w:r>
    </w:p>
    <w:p w14:paraId="269250F0" w14:textId="2A0CDD7F" w:rsidR="008020AB" w:rsidRDefault="005F6EC4" w:rsidP="004076AD">
      <w:pPr>
        <w:pStyle w:val="Heading1"/>
        <w:spacing w:before="0"/>
        <w:ind w:leftChars="0" w:left="3" w:firstLineChars="0" w:firstLine="0"/>
      </w:pPr>
      <w:r>
        <w:lastRenderedPageBreak/>
        <w:t xml:space="preserve">BACKGROUND AND OBJECTIVES  </w:t>
      </w:r>
    </w:p>
    <w:p w14:paraId="58D39904" w14:textId="6C57128C" w:rsidR="004366AB" w:rsidRPr="00D75C96" w:rsidRDefault="008C2CEE" w:rsidP="004C2376">
      <w:pPr>
        <w:pStyle w:val="BodyText"/>
        <w:spacing w:before="16"/>
        <w:ind w:right="478"/>
        <w:rPr>
          <w:rFonts w:ascii="Calibri" w:eastAsia="Georgia" w:hAnsi="Calibri" w:cs="Calibri"/>
          <w:sz w:val="22"/>
          <w:szCs w:val="22"/>
        </w:rPr>
      </w:pPr>
      <w:r w:rsidRPr="00D75C96">
        <w:rPr>
          <w:rFonts w:ascii="Calibri" w:eastAsia="Georgia" w:hAnsi="Calibri" w:cs="Calibri"/>
          <w:sz w:val="22"/>
          <w:szCs w:val="22"/>
        </w:rPr>
        <w:t xml:space="preserve">Our 2018 NITC-funded study on planning and development challenges in western gateway communities identified affordable housing as a pressing challenge across these rural towns and cities. </w:t>
      </w:r>
      <w:proofErr w:type="gramStart"/>
      <w:r w:rsidR="00BC25A7" w:rsidRPr="00D75C96">
        <w:rPr>
          <w:rFonts w:ascii="Calibri" w:eastAsia="Georgia" w:hAnsi="Calibri" w:cs="Calibri"/>
          <w:sz w:val="22"/>
          <w:szCs w:val="22"/>
        </w:rPr>
        <w:t>All of</w:t>
      </w:r>
      <w:proofErr w:type="gramEnd"/>
      <w:r w:rsidR="00BC25A7" w:rsidRPr="00D75C96">
        <w:rPr>
          <w:rFonts w:ascii="Calibri" w:eastAsia="Georgia" w:hAnsi="Calibri" w:cs="Calibri"/>
          <w:sz w:val="22"/>
          <w:szCs w:val="22"/>
        </w:rPr>
        <w:t xml:space="preserve"> our</w:t>
      </w:r>
      <w:r w:rsidR="008A13F1" w:rsidRPr="00D75C96">
        <w:rPr>
          <w:rFonts w:ascii="Calibri" w:eastAsia="Georgia" w:hAnsi="Calibri" w:cs="Calibri"/>
          <w:sz w:val="22"/>
          <w:szCs w:val="22"/>
        </w:rPr>
        <w:t xml:space="preserve"> interviewees </w:t>
      </w:r>
      <w:r w:rsidR="00BC25A7" w:rsidRPr="00D75C96">
        <w:rPr>
          <w:rFonts w:ascii="Calibri" w:eastAsia="Georgia" w:hAnsi="Calibri" w:cs="Calibri"/>
          <w:sz w:val="22"/>
          <w:szCs w:val="22"/>
        </w:rPr>
        <w:t xml:space="preserve">and 83% </w:t>
      </w:r>
      <w:r w:rsidRPr="00D75C96">
        <w:rPr>
          <w:rFonts w:ascii="Calibri" w:eastAsia="Georgia" w:hAnsi="Calibri" w:cs="Calibri"/>
          <w:sz w:val="22"/>
          <w:szCs w:val="22"/>
        </w:rPr>
        <w:t>of our 333 survey respondents</w:t>
      </w:r>
      <w:r w:rsidR="00BC25A7" w:rsidRPr="00D75C96">
        <w:rPr>
          <w:rFonts w:ascii="Calibri" w:eastAsia="Georgia" w:hAnsi="Calibri" w:cs="Calibri"/>
          <w:sz w:val="22"/>
          <w:szCs w:val="22"/>
        </w:rPr>
        <w:t xml:space="preserve"> </w:t>
      </w:r>
      <w:r w:rsidRPr="00D75C96">
        <w:rPr>
          <w:rFonts w:ascii="Calibri" w:eastAsia="Georgia" w:hAnsi="Calibri" w:cs="Calibri"/>
          <w:sz w:val="22"/>
          <w:szCs w:val="22"/>
        </w:rPr>
        <w:t>identified housing affordability as a moderate to severe problem for their community</w:t>
      </w:r>
      <w:r w:rsidR="00BC25A7" w:rsidRPr="00D75C96">
        <w:rPr>
          <w:rFonts w:ascii="Calibri" w:eastAsia="Georgia" w:hAnsi="Calibri" w:cs="Calibri"/>
          <w:sz w:val="22"/>
          <w:szCs w:val="22"/>
        </w:rPr>
        <w:t xml:space="preserve"> (Stoker et al. 2021)</w:t>
      </w:r>
      <w:r w:rsidRPr="00D75C96">
        <w:rPr>
          <w:rFonts w:ascii="Calibri" w:eastAsia="Georgia" w:hAnsi="Calibri" w:cs="Calibri"/>
          <w:sz w:val="22"/>
          <w:szCs w:val="22"/>
        </w:rPr>
        <w:t xml:space="preserve">. As one interviewee put it, “I think affordable housing is the biggest thing. Not just affordable housing, but </w:t>
      </w:r>
      <w:proofErr w:type="gramStart"/>
      <w:r w:rsidRPr="00D75C96">
        <w:rPr>
          <w:rFonts w:ascii="Calibri" w:eastAsia="Georgia" w:hAnsi="Calibri" w:cs="Calibri"/>
          <w:sz w:val="22"/>
          <w:szCs w:val="22"/>
        </w:rPr>
        <w:t>actually LIVABLE</w:t>
      </w:r>
      <w:proofErr w:type="gramEnd"/>
      <w:r w:rsidRPr="00D75C96">
        <w:rPr>
          <w:rFonts w:ascii="Calibri" w:eastAsia="Georgia" w:hAnsi="Calibri" w:cs="Calibri"/>
          <w:sz w:val="22"/>
          <w:szCs w:val="22"/>
        </w:rPr>
        <w:t xml:space="preserve"> affordable housing. Right now, housing is a crisis.” Our prior study also illuminated the interconnectedness of transportation, housing, and land use issues in gateway communities. For example, interviewees commonly noted how housing demand in gateway communities tends to spill over into outlying areas, which increases commuting and results in impacts on transportation systems, land use patterns, quality of life, mobility</w:t>
      </w:r>
      <w:r w:rsidR="00135C03" w:rsidRPr="00D75C96">
        <w:rPr>
          <w:rFonts w:ascii="Calibri" w:eastAsia="Georgia" w:hAnsi="Calibri" w:cs="Calibri"/>
          <w:sz w:val="22"/>
          <w:szCs w:val="22"/>
        </w:rPr>
        <w:t>,</w:t>
      </w:r>
      <w:r w:rsidRPr="00D75C96">
        <w:rPr>
          <w:rFonts w:ascii="Calibri" w:eastAsia="Georgia" w:hAnsi="Calibri" w:cs="Calibri"/>
          <w:sz w:val="22"/>
          <w:szCs w:val="22"/>
        </w:rPr>
        <w:t xml:space="preserve"> and access to opportunity. As one interviewee said, “Part of the reason we have traffic issues is because people are moving farther and farther away to where they can afford to live.</w:t>
      </w:r>
      <w:r w:rsidR="00F64A24" w:rsidRPr="00D75C96">
        <w:rPr>
          <w:rFonts w:ascii="Calibri" w:eastAsia="Georgia" w:hAnsi="Calibri" w:cs="Calibri"/>
          <w:sz w:val="22"/>
          <w:szCs w:val="22"/>
        </w:rPr>
        <w:t>”</w:t>
      </w:r>
      <w:r w:rsidRPr="00D75C96">
        <w:rPr>
          <w:rFonts w:ascii="Calibri" w:eastAsia="Georgia" w:hAnsi="Calibri" w:cs="Calibri"/>
          <w:sz w:val="22"/>
          <w:szCs w:val="22"/>
        </w:rPr>
        <w:t xml:space="preserve"> Further, we know from ongoing engagement with gateway communities throughout the </w:t>
      </w:r>
      <w:r w:rsidR="006B6095" w:rsidRPr="00D75C96">
        <w:rPr>
          <w:rFonts w:ascii="Calibri" w:eastAsia="Georgia" w:hAnsi="Calibri" w:cs="Calibri"/>
          <w:sz w:val="22"/>
          <w:szCs w:val="22"/>
        </w:rPr>
        <w:t>W</w:t>
      </w:r>
      <w:r w:rsidRPr="00D75C96">
        <w:rPr>
          <w:rFonts w:ascii="Calibri" w:eastAsia="Georgia" w:hAnsi="Calibri" w:cs="Calibri"/>
          <w:sz w:val="22"/>
          <w:szCs w:val="22"/>
        </w:rPr>
        <w:t xml:space="preserve">est that these issues have been exacerbated by and become more pervasive </w:t>
      </w:r>
      <w:r w:rsidR="000A690E" w:rsidRPr="00D75C96">
        <w:rPr>
          <w:rFonts w:ascii="Calibri" w:eastAsia="Georgia" w:hAnsi="Calibri" w:cs="Calibri"/>
          <w:sz w:val="22"/>
          <w:szCs w:val="22"/>
        </w:rPr>
        <w:t>due to</w:t>
      </w:r>
      <w:r w:rsidRPr="00D75C96">
        <w:rPr>
          <w:rFonts w:ascii="Calibri" w:eastAsia="Georgia" w:hAnsi="Calibri" w:cs="Calibri"/>
          <w:sz w:val="22"/>
          <w:szCs w:val="22"/>
        </w:rPr>
        <w:t xml:space="preserve"> COVID-19-related amenity migration and the “Zoom Town” phenomenon of remote workers relocating to high amenity rural areas</w:t>
      </w:r>
      <w:r w:rsidR="004366AB" w:rsidRPr="00D75C96">
        <w:rPr>
          <w:rFonts w:ascii="Calibri" w:eastAsia="Georgia" w:hAnsi="Calibri" w:cs="Calibri"/>
          <w:sz w:val="22"/>
          <w:szCs w:val="22"/>
        </w:rPr>
        <w:t>.</w:t>
      </w:r>
      <w:r w:rsidR="00F64A24" w:rsidRPr="00D75C96">
        <w:rPr>
          <w:rFonts w:ascii="Calibri" w:eastAsia="Georgia" w:hAnsi="Calibri" w:cs="Calibri"/>
          <w:sz w:val="22"/>
          <w:szCs w:val="22"/>
        </w:rPr>
        <w:t xml:space="preserve"> We </w:t>
      </w:r>
      <w:r w:rsidRPr="00D75C96">
        <w:rPr>
          <w:rFonts w:ascii="Calibri" w:eastAsia="Georgia" w:hAnsi="Calibri" w:cs="Calibri"/>
          <w:sz w:val="22"/>
          <w:szCs w:val="22"/>
        </w:rPr>
        <w:t xml:space="preserve">also know from our prior research and ongoing work with gateway communities that many of these places are </w:t>
      </w:r>
      <w:r w:rsidR="00BC25A7" w:rsidRPr="00D75C96">
        <w:rPr>
          <w:rFonts w:ascii="Calibri" w:eastAsia="Georgia" w:hAnsi="Calibri" w:cs="Calibri"/>
          <w:sz w:val="22"/>
          <w:szCs w:val="22"/>
        </w:rPr>
        <w:t>trying</w:t>
      </w:r>
      <w:r w:rsidRPr="00D75C96">
        <w:rPr>
          <w:rFonts w:ascii="Calibri" w:eastAsia="Georgia" w:hAnsi="Calibri" w:cs="Calibri"/>
          <w:sz w:val="22"/>
          <w:szCs w:val="22"/>
        </w:rPr>
        <w:t xml:space="preserve"> innovative </w:t>
      </w:r>
      <w:r w:rsidR="00BC25A7" w:rsidRPr="00D75C96">
        <w:rPr>
          <w:rFonts w:ascii="Calibri" w:eastAsia="Georgia" w:hAnsi="Calibri" w:cs="Calibri"/>
          <w:sz w:val="22"/>
          <w:szCs w:val="22"/>
        </w:rPr>
        <w:t>approaches for</w:t>
      </w:r>
      <w:r w:rsidRPr="00D75C96">
        <w:rPr>
          <w:rFonts w:ascii="Calibri" w:eastAsia="Georgia" w:hAnsi="Calibri" w:cs="Calibri"/>
          <w:sz w:val="22"/>
          <w:szCs w:val="22"/>
        </w:rPr>
        <w:t xml:space="preserve"> respond</w:t>
      </w:r>
      <w:r w:rsidR="00BC25A7" w:rsidRPr="00D75C96">
        <w:rPr>
          <w:rFonts w:ascii="Calibri" w:eastAsia="Georgia" w:hAnsi="Calibri" w:cs="Calibri"/>
          <w:sz w:val="22"/>
          <w:szCs w:val="22"/>
        </w:rPr>
        <w:t>ing</w:t>
      </w:r>
      <w:r w:rsidRPr="00D75C96">
        <w:rPr>
          <w:rFonts w:ascii="Calibri" w:eastAsia="Georgia" w:hAnsi="Calibri" w:cs="Calibri"/>
          <w:sz w:val="22"/>
          <w:szCs w:val="22"/>
        </w:rPr>
        <w:t xml:space="preserve"> to their transportation, housing, and land use concerns. We believe that these “small towns with big city problems” provide valuable laboratories in which to study interconnected housing, transportation, and land use challenges and explore novel strategies for addressing them. We think cities of all shapes and sizes across the country</w:t>
      </w:r>
      <w:r w:rsidR="00A26562" w:rsidRPr="00D75C96">
        <w:rPr>
          <w:rFonts w:ascii="Calibri" w:eastAsia="Georgia" w:hAnsi="Calibri" w:cs="Calibri"/>
          <w:sz w:val="22"/>
          <w:szCs w:val="22"/>
        </w:rPr>
        <w:t xml:space="preserve"> </w:t>
      </w:r>
      <w:r w:rsidRPr="00D75C96">
        <w:rPr>
          <w:rFonts w:ascii="Calibri" w:eastAsia="Georgia" w:hAnsi="Calibri" w:cs="Calibri"/>
          <w:sz w:val="22"/>
          <w:szCs w:val="22"/>
        </w:rPr>
        <w:t>have a lot to learn from the efforts and experiences of these places.</w:t>
      </w:r>
      <w:r w:rsidR="004366AB" w:rsidRPr="00D75C96">
        <w:rPr>
          <w:rFonts w:ascii="Calibri" w:eastAsia="Georgia" w:hAnsi="Calibri" w:cs="Calibri"/>
          <w:sz w:val="22"/>
          <w:szCs w:val="22"/>
        </w:rPr>
        <w:t xml:space="preserve"> F</w:t>
      </w:r>
      <w:r w:rsidR="00F421A4" w:rsidRPr="00D75C96">
        <w:rPr>
          <w:rFonts w:ascii="Calibri" w:eastAsia="Georgia" w:hAnsi="Calibri" w:cs="Calibri"/>
          <w:sz w:val="22"/>
          <w:szCs w:val="22"/>
        </w:rPr>
        <w:t>urther</w:t>
      </w:r>
      <w:r w:rsidR="004366AB" w:rsidRPr="00D75C96">
        <w:rPr>
          <w:rFonts w:ascii="Calibri" w:eastAsia="Georgia" w:hAnsi="Calibri" w:cs="Calibri"/>
          <w:sz w:val="22"/>
          <w:szCs w:val="22"/>
        </w:rPr>
        <w:t>, we know these communities are eager for help with their interconnected transportation, housing, and land use issues.</w:t>
      </w:r>
    </w:p>
    <w:p w14:paraId="021B6732" w14:textId="29292932" w:rsidR="008C2CEE" w:rsidRPr="00D75C96" w:rsidRDefault="008C2CEE" w:rsidP="004C2376">
      <w:pPr>
        <w:pStyle w:val="BodyText"/>
        <w:spacing w:before="120"/>
        <w:ind w:right="475"/>
        <w:rPr>
          <w:rFonts w:ascii="Calibri" w:eastAsia="Georgia" w:hAnsi="Calibri" w:cs="Calibri"/>
          <w:sz w:val="22"/>
          <w:szCs w:val="22"/>
        </w:rPr>
      </w:pPr>
      <w:r w:rsidRPr="00D75C96">
        <w:rPr>
          <w:rFonts w:ascii="Calibri" w:eastAsia="Georgia" w:hAnsi="Calibri" w:cs="Calibri"/>
          <w:sz w:val="22"/>
          <w:szCs w:val="22"/>
        </w:rPr>
        <w:t xml:space="preserve">Based on the results of our prior study and ongoing </w:t>
      </w:r>
      <w:r w:rsidR="00F64A24" w:rsidRPr="00D75C96">
        <w:rPr>
          <w:rFonts w:ascii="Calibri" w:eastAsia="Georgia" w:hAnsi="Calibri" w:cs="Calibri"/>
          <w:sz w:val="22"/>
          <w:szCs w:val="22"/>
        </w:rPr>
        <w:t xml:space="preserve">work with </w:t>
      </w:r>
      <w:r w:rsidRPr="00D75C96">
        <w:rPr>
          <w:rFonts w:ascii="Calibri" w:eastAsia="Georgia" w:hAnsi="Calibri" w:cs="Calibri"/>
          <w:sz w:val="22"/>
          <w:szCs w:val="22"/>
        </w:rPr>
        <w:t>gateway communities, we have developed the following postulates and related research questions, which we propose to test through this study:</w:t>
      </w:r>
    </w:p>
    <w:p w14:paraId="7052961E" w14:textId="3867A0AE" w:rsidR="008C2CEE" w:rsidRPr="00D75C96" w:rsidRDefault="008C2CEE" w:rsidP="008C2CEE">
      <w:pPr>
        <w:pStyle w:val="BodyText"/>
        <w:numPr>
          <w:ilvl w:val="0"/>
          <w:numId w:val="2"/>
        </w:numPr>
        <w:ind w:right="461"/>
        <w:rPr>
          <w:rFonts w:ascii="Calibri" w:eastAsia="Georgia" w:hAnsi="Calibri" w:cs="Calibri"/>
          <w:sz w:val="22"/>
          <w:szCs w:val="22"/>
        </w:rPr>
      </w:pPr>
      <w:r w:rsidRPr="00D75C96">
        <w:rPr>
          <w:rFonts w:ascii="Calibri" w:eastAsia="Georgia" w:hAnsi="Calibri" w:cs="Calibri"/>
          <w:sz w:val="22"/>
          <w:szCs w:val="22"/>
        </w:rPr>
        <w:t xml:space="preserve">As gateway communities experience growth and development pressure, they </w:t>
      </w:r>
      <w:r w:rsidR="00F421A4" w:rsidRPr="00D75C96">
        <w:rPr>
          <w:rFonts w:ascii="Calibri" w:eastAsia="Georgia" w:hAnsi="Calibri" w:cs="Calibri"/>
          <w:sz w:val="22"/>
          <w:szCs w:val="22"/>
        </w:rPr>
        <w:t>seem to</w:t>
      </w:r>
      <w:r w:rsidRPr="00D75C96">
        <w:rPr>
          <w:rFonts w:ascii="Calibri" w:eastAsia="Georgia" w:hAnsi="Calibri" w:cs="Calibri"/>
          <w:sz w:val="22"/>
          <w:szCs w:val="22"/>
        </w:rPr>
        <w:t xml:space="preserve"> experience a predictable set of interconnected transportation, housing, and land use issues, including </w:t>
      </w:r>
      <w:r w:rsidR="00F421A4" w:rsidRPr="00D75C96">
        <w:rPr>
          <w:rFonts w:ascii="Calibri" w:eastAsia="Georgia" w:hAnsi="Calibri" w:cs="Calibri"/>
          <w:sz w:val="22"/>
          <w:szCs w:val="22"/>
        </w:rPr>
        <w:t xml:space="preserve">rural gentrification and the </w:t>
      </w:r>
      <w:r w:rsidRPr="00D75C96">
        <w:rPr>
          <w:rFonts w:ascii="Calibri" w:eastAsia="Georgia" w:hAnsi="Calibri" w:cs="Calibri"/>
          <w:sz w:val="22"/>
          <w:szCs w:val="22"/>
        </w:rPr>
        <w:t>develop</w:t>
      </w:r>
      <w:r w:rsidR="00F421A4" w:rsidRPr="00D75C96">
        <w:rPr>
          <w:rFonts w:ascii="Calibri" w:eastAsia="Georgia" w:hAnsi="Calibri" w:cs="Calibri"/>
          <w:sz w:val="22"/>
          <w:szCs w:val="22"/>
        </w:rPr>
        <w:t>ment of</w:t>
      </w:r>
      <w:r w:rsidRPr="00D75C96">
        <w:rPr>
          <w:rFonts w:ascii="Calibri" w:eastAsia="Georgia" w:hAnsi="Calibri" w:cs="Calibri"/>
          <w:sz w:val="22"/>
          <w:szCs w:val="22"/>
        </w:rPr>
        <w:t xml:space="preserve"> commuter-sheds</w:t>
      </w:r>
      <w:r w:rsidR="00F421A4" w:rsidRPr="00D75C96">
        <w:rPr>
          <w:rFonts w:ascii="Calibri" w:eastAsia="Georgia" w:hAnsi="Calibri" w:cs="Calibri"/>
          <w:sz w:val="22"/>
          <w:szCs w:val="22"/>
        </w:rPr>
        <w:t>, which in turn</w:t>
      </w:r>
      <w:r w:rsidRPr="00D75C96">
        <w:rPr>
          <w:rFonts w:ascii="Calibri" w:eastAsia="Georgia" w:hAnsi="Calibri" w:cs="Calibri"/>
          <w:sz w:val="22"/>
          <w:szCs w:val="22"/>
        </w:rPr>
        <w:t xml:space="preserve"> impact regional transportation systems, mobility, </w:t>
      </w:r>
      <w:r w:rsidR="00A45A6F" w:rsidRPr="00D75C96">
        <w:rPr>
          <w:rFonts w:ascii="Calibri" w:eastAsia="Georgia" w:hAnsi="Calibri" w:cs="Calibri"/>
          <w:sz w:val="22"/>
          <w:szCs w:val="22"/>
        </w:rPr>
        <w:t xml:space="preserve">equity, </w:t>
      </w:r>
      <w:r w:rsidRPr="00D75C96">
        <w:rPr>
          <w:rFonts w:ascii="Calibri" w:eastAsia="Georgia" w:hAnsi="Calibri" w:cs="Calibri"/>
          <w:sz w:val="22"/>
          <w:szCs w:val="22"/>
        </w:rPr>
        <w:t>access to opportunity, the surrounding environment, and quality of life.</w:t>
      </w:r>
    </w:p>
    <w:p w14:paraId="4989E3BE" w14:textId="00268C90" w:rsidR="00F64A24"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To what extent is this the case across</w:t>
      </w:r>
      <w:r w:rsidR="00A45A6F" w:rsidRPr="00D75C96">
        <w:rPr>
          <w:rFonts w:ascii="Calibri" w:eastAsia="Georgia" w:hAnsi="Calibri" w:cs="Calibri"/>
          <w:sz w:val="22"/>
          <w:szCs w:val="22"/>
        </w:rPr>
        <w:t xml:space="preserve"> all</w:t>
      </w:r>
      <w:r w:rsidRPr="00D75C96">
        <w:rPr>
          <w:rFonts w:ascii="Calibri" w:eastAsia="Georgia" w:hAnsi="Calibri" w:cs="Calibri"/>
          <w:sz w:val="22"/>
          <w:szCs w:val="22"/>
        </w:rPr>
        <w:t xml:space="preserve"> western gateway communities</w:t>
      </w:r>
      <w:r w:rsidR="00F64A24" w:rsidRPr="00D75C96">
        <w:rPr>
          <w:rFonts w:ascii="Calibri" w:eastAsia="Georgia" w:hAnsi="Calibri" w:cs="Calibri"/>
          <w:sz w:val="22"/>
          <w:szCs w:val="22"/>
        </w:rPr>
        <w:t>?</w:t>
      </w:r>
    </w:p>
    <w:p w14:paraId="1CC4B828" w14:textId="456BFD37" w:rsidR="008C2CEE"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 xml:space="preserve">What level of </w:t>
      </w:r>
      <w:r w:rsidR="00A45A6F" w:rsidRPr="00D75C96">
        <w:rPr>
          <w:rFonts w:ascii="Calibri" w:eastAsia="Georgia" w:hAnsi="Calibri" w:cs="Calibri"/>
          <w:sz w:val="22"/>
          <w:szCs w:val="22"/>
        </w:rPr>
        <w:t xml:space="preserve">growth, </w:t>
      </w:r>
      <w:r w:rsidRPr="00D75C96">
        <w:rPr>
          <w:rFonts w:ascii="Calibri" w:eastAsia="Georgia" w:hAnsi="Calibri" w:cs="Calibri"/>
          <w:sz w:val="22"/>
          <w:szCs w:val="22"/>
        </w:rPr>
        <w:t>development</w:t>
      </w:r>
      <w:r w:rsidR="00A45A6F" w:rsidRPr="00D75C96">
        <w:rPr>
          <w:rFonts w:ascii="Calibri" w:eastAsia="Georgia" w:hAnsi="Calibri" w:cs="Calibri"/>
          <w:sz w:val="22"/>
          <w:szCs w:val="22"/>
        </w:rPr>
        <w:t xml:space="preserve">, visitation, and/or </w:t>
      </w:r>
      <w:r w:rsidRPr="00D75C96">
        <w:rPr>
          <w:rFonts w:ascii="Calibri" w:eastAsia="Georgia" w:hAnsi="Calibri" w:cs="Calibri"/>
          <w:sz w:val="22"/>
          <w:szCs w:val="22"/>
        </w:rPr>
        <w:t>other factors are associated with the displacement of workers and/or</w:t>
      </w:r>
      <w:r w:rsidR="00F421A4" w:rsidRPr="00D75C96">
        <w:rPr>
          <w:rFonts w:ascii="Calibri" w:eastAsia="Georgia" w:hAnsi="Calibri" w:cs="Calibri"/>
          <w:sz w:val="22"/>
          <w:szCs w:val="22"/>
        </w:rPr>
        <w:t xml:space="preserve"> housing and</w:t>
      </w:r>
      <w:r w:rsidRPr="00D75C96">
        <w:rPr>
          <w:rFonts w:ascii="Calibri" w:eastAsia="Georgia" w:hAnsi="Calibri" w:cs="Calibri"/>
          <w:sz w:val="22"/>
          <w:szCs w:val="22"/>
        </w:rPr>
        <w:t xml:space="preserve"> transportation system failure?</w:t>
      </w:r>
    </w:p>
    <w:p w14:paraId="41D9A176" w14:textId="77777777" w:rsidR="008C2CEE"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What impacts do these interconnected transportation, housing, and land use issues have and how can those impacts be mitigated?</w:t>
      </w:r>
    </w:p>
    <w:p w14:paraId="5513F7EB" w14:textId="5442A3C4" w:rsidR="008C2CEE"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How well, if at all, do gateway communities understand where their employees live and related implications, such as for regional transportation systems</w:t>
      </w:r>
      <w:r w:rsidR="00A45A6F" w:rsidRPr="00D75C96">
        <w:rPr>
          <w:rFonts w:ascii="Calibri" w:eastAsia="Georgia" w:hAnsi="Calibri" w:cs="Calibri"/>
          <w:sz w:val="22"/>
          <w:szCs w:val="22"/>
        </w:rPr>
        <w:t xml:space="preserve"> and housing programs</w:t>
      </w:r>
      <w:r w:rsidRPr="00D75C96">
        <w:rPr>
          <w:rFonts w:ascii="Calibri" w:eastAsia="Georgia" w:hAnsi="Calibri" w:cs="Calibri"/>
          <w:sz w:val="22"/>
          <w:szCs w:val="22"/>
        </w:rPr>
        <w:t xml:space="preserve">? </w:t>
      </w:r>
    </w:p>
    <w:p w14:paraId="7A1ADA38" w14:textId="30B13E3D" w:rsidR="008C2CEE" w:rsidRPr="00D75C96" w:rsidRDefault="008C2CEE" w:rsidP="008C2CEE">
      <w:pPr>
        <w:pStyle w:val="BodyText"/>
        <w:numPr>
          <w:ilvl w:val="0"/>
          <w:numId w:val="2"/>
        </w:numPr>
        <w:ind w:right="461"/>
        <w:rPr>
          <w:rFonts w:ascii="Calibri" w:eastAsia="Georgia" w:hAnsi="Calibri" w:cs="Calibri"/>
          <w:sz w:val="22"/>
          <w:szCs w:val="22"/>
        </w:rPr>
      </w:pPr>
      <w:r w:rsidRPr="00D75C96">
        <w:rPr>
          <w:rFonts w:ascii="Calibri" w:eastAsia="Georgia" w:hAnsi="Calibri" w:cs="Calibri"/>
          <w:sz w:val="22"/>
          <w:szCs w:val="22"/>
        </w:rPr>
        <w:t>Highly developed gateway communities are doing a range of innovative things to understand and address their interconnected transportation and housing issues. They also appear to be engaging in</w:t>
      </w:r>
      <w:r w:rsidR="00A45A6F" w:rsidRPr="00D75C96">
        <w:rPr>
          <w:rFonts w:ascii="Calibri" w:eastAsia="Georgia" w:hAnsi="Calibri" w:cs="Calibri"/>
          <w:sz w:val="22"/>
          <w:szCs w:val="22"/>
        </w:rPr>
        <w:t>, or at least trying to engage in,</w:t>
      </w:r>
      <w:r w:rsidRPr="00D75C96">
        <w:rPr>
          <w:rFonts w:ascii="Calibri" w:eastAsia="Georgia" w:hAnsi="Calibri" w:cs="Calibri"/>
          <w:sz w:val="22"/>
          <w:szCs w:val="22"/>
        </w:rPr>
        <w:t xml:space="preserve"> transportation planning at a regional scale.</w:t>
      </w:r>
    </w:p>
    <w:p w14:paraId="73328D1A" w14:textId="77777777" w:rsidR="008C2CEE"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To what extent is this the case across all western gateway communities?</w:t>
      </w:r>
    </w:p>
    <w:p w14:paraId="755C1AE6" w14:textId="77777777" w:rsidR="008C2CEE"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What solutions are being explored, how are these solutions working, and what can be learned from these efforts for other gateway communities and other rural and urban communities throughout the country?</w:t>
      </w:r>
    </w:p>
    <w:p w14:paraId="6980DE84" w14:textId="77777777" w:rsidR="008C2CEE"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lastRenderedPageBreak/>
        <w:t>What are the implications, impacts, and tradeoffs of different strategies?</w:t>
      </w:r>
    </w:p>
    <w:p w14:paraId="0FE55CA0" w14:textId="77777777" w:rsidR="008C2CEE" w:rsidRPr="00D75C96" w:rsidRDefault="008C2CEE" w:rsidP="008C2CEE">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What roadblocks and barriers are gateway communities encountering in their efforts to address interconnected housing and transportation issues, and what can be done to address them?</w:t>
      </w:r>
    </w:p>
    <w:p w14:paraId="2B4E73C3" w14:textId="77777777" w:rsidR="008B7B28" w:rsidRPr="00D75C96" w:rsidRDefault="008C2CEE" w:rsidP="008B7B28">
      <w:pPr>
        <w:pStyle w:val="BodyText"/>
        <w:numPr>
          <w:ilvl w:val="1"/>
          <w:numId w:val="2"/>
        </w:numPr>
        <w:ind w:right="461"/>
        <w:rPr>
          <w:rFonts w:ascii="Calibri" w:eastAsia="Georgia" w:hAnsi="Calibri" w:cs="Calibri"/>
          <w:sz w:val="22"/>
          <w:szCs w:val="22"/>
        </w:rPr>
      </w:pPr>
      <w:r w:rsidRPr="00D75C96">
        <w:rPr>
          <w:rFonts w:ascii="Calibri" w:eastAsia="Georgia" w:hAnsi="Calibri" w:cs="Calibri"/>
          <w:sz w:val="22"/>
          <w:szCs w:val="22"/>
        </w:rPr>
        <w:t>What data, resources, and planning support have been or would be helpful to assist these places in effectively tackling their interconnected planning, transportation, and land use issues?</w:t>
      </w:r>
    </w:p>
    <w:p w14:paraId="03CA303F" w14:textId="7CA661E5" w:rsidR="008C2CEE" w:rsidRPr="008B7B28" w:rsidRDefault="008C2CEE" w:rsidP="004C2376">
      <w:pPr>
        <w:pStyle w:val="BodyText"/>
        <w:spacing w:before="120"/>
        <w:ind w:right="461"/>
        <w:rPr>
          <w:rFonts w:ascii="Calibri" w:eastAsia="Georgia" w:hAnsi="Calibri" w:cs="Calibri"/>
          <w:sz w:val="20"/>
          <w:szCs w:val="20"/>
        </w:rPr>
      </w:pPr>
      <w:r w:rsidRPr="00D75C96">
        <w:rPr>
          <w:rFonts w:ascii="Calibri" w:eastAsia="Georgia" w:hAnsi="Calibri" w:cs="Calibri"/>
          <w:sz w:val="22"/>
          <w:szCs w:val="22"/>
        </w:rPr>
        <w:t xml:space="preserve">The results of this study will be used to develop case studies, </w:t>
      </w:r>
      <w:r w:rsidR="00F421A4" w:rsidRPr="00D75C96">
        <w:rPr>
          <w:rFonts w:ascii="Calibri" w:eastAsia="Georgia" w:hAnsi="Calibri" w:cs="Calibri"/>
          <w:sz w:val="22"/>
          <w:szCs w:val="22"/>
        </w:rPr>
        <w:t xml:space="preserve">lessons learned, </w:t>
      </w:r>
      <w:r w:rsidRPr="00D75C96">
        <w:rPr>
          <w:rFonts w:ascii="Calibri" w:eastAsia="Georgia" w:hAnsi="Calibri" w:cs="Calibri"/>
          <w:sz w:val="22"/>
          <w:szCs w:val="22"/>
        </w:rPr>
        <w:t>methods, and guidelines to assist gateway communities and other rural and urban communities in tackling their interconnected transportation,</w:t>
      </w:r>
      <w:r w:rsidR="00A45A6F" w:rsidRPr="00D75C96">
        <w:rPr>
          <w:rFonts w:ascii="Calibri" w:eastAsia="Georgia" w:hAnsi="Calibri" w:cs="Calibri"/>
          <w:sz w:val="22"/>
          <w:szCs w:val="22"/>
        </w:rPr>
        <w:t xml:space="preserve"> housing,</w:t>
      </w:r>
      <w:r w:rsidRPr="00D75C96">
        <w:rPr>
          <w:rFonts w:ascii="Calibri" w:eastAsia="Georgia" w:hAnsi="Calibri" w:cs="Calibri"/>
          <w:sz w:val="22"/>
          <w:szCs w:val="22"/>
        </w:rPr>
        <w:t xml:space="preserve"> and land use concerns. We also anticipate this study will result in local, state, and national policy recommendations. </w:t>
      </w:r>
      <w:r w:rsidR="00F421A4" w:rsidRPr="00D75C96">
        <w:rPr>
          <w:rFonts w:ascii="Calibri" w:eastAsia="Georgia" w:hAnsi="Calibri" w:cs="Calibri"/>
          <w:sz w:val="22"/>
          <w:szCs w:val="22"/>
        </w:rPr>
        <w:t xml:space="preserve">This study will also greatly advance research on planning and development challenges in gateway communities, </w:t>
      </w:r>
      <w:r w:rsidR="008A13F1" w:rsidRPr="00D75C96">
        <w:rPr>
          <w:rFonts w:ascii="Calibri" w:eastAsia="Georgia" w:hAnsi="Calibri" w:cs="Calibri"/>
          <w:sz w:val="22"/>
          <w:szCs w:val="22"/>
        </w:rPr>
        <w:t>particularly</w:t>
      </w:r>
      <w:r w:rsidR="00A45A6F" w:rsidRPr="00D75C96">
        <w:rPr>
          <w:rFonts w:ascii="Calibri" w:eastAsia="Georgia" w:hAnsi="Calibri" w:cs="Calibri"/>
          <w:sz w:val="22"/>
          <w:szCs w:val="22"/>
        </w:rPr>
        <w:t xml:space="preserve"> through </w:t>
      </w:r>
      <w:r w:rsidR="00F421A4" w:rsidRPr="00D75C96">
        <w:rPr>
          <w:rFonts w:ascii="Calibri" w:eastAsia="Georgia" w:hAnsi="Calibri" w:cs="Calibri"/>
          <w:sz w:val="22"/>
          <w:szCs w:val="22"/>
        </w:rPr>
        <w:t>shed</w:t>
      </w:r>
      <w:r w:rsidR="008A13F1" w:rsidRPr="00D75C96">
        <w:rPr>
          <w:rFonts w:ascii="Calibri" w:eastAsia="Georgia" w:hAnsi="Calibri" w:cs="Calibri"/>
          <w:sz w:val="22"/>
          <w:szCs w:val="22"/>
        </w:rPr>
        <w:t>ding</w:t>
      </w:r>
      <w:r w:rsidR="00F421A4" w:rsidRPr="00D75C96">
        <w:rPr>
          <w:rFonts w:ascii="Calibri" w:eastAsia="Georgia" w:hAnsi="Calibri" w:cs="Calibri"/>
          <w:sz w:val="22"/>
          <w:szCs w:val="22"/>
        </w:rPr>
        <w:t xml:space="preserve"> light on solutions and strategies. </w:t>
      </w:r>
      <w:r>
        <w:br w:type="page"/>
      </w:r>
    </w:p>
    <w:p w14:paraId="37FD2403" w14:textId="17C8A67C" w:rsidR="008020AB" w:rsidRDefault="005F6EC4" w:rsidP="004076AD">
      <w:pPr>
        <w:pStyle w:val="Heading1"/>
        <w:spacing w:before="0"/>
        <w:ind w:leftChars="0" w:left="3" w:firstLineChars="0" w:firstLine="0"/>
      </w:pPr>
      <w:r>
        <w:lastRenderedPageBreak/>
        <w:t xml:space="preserve">METHODOLOGY AND DATA COLLECTION  </w:t>
      </w:r>
    </w:p>
    <w:p w14:paraId="168B70B3" w14:textId="3603EBEA" w:rsidR="008C2CEE" w:rsidRPr="00D75C96" w:rsidRDefault="008C2CEE" w:rsidP="008C2CEE">
      <w:pPr>
        <w:pStyle w:val="BodyText"/>
        <w:spacing w:before="17"/>
        <w:rPr>
          <w:rFonts w:ascii="Calibri" w:eastAsia="Georgia" w:hAnsi="Calibri" w:cs="Calibri"/>
          <w:sz w:val="22"/>
          <w:szCs w:val="22"/>
        </w:rPr>
      </w:pPr>
      <w:r w:rsidRPr="00D75C96">
        <w:rPr>
          <w:rFonts w:ascii="Calibri" w:eastAsia="Georgia" w:hAnsi="Calibri" w:cs="Calibri"/>
          <w:sz w:val="22"/>
          <w:szCs w:val="22"/>
        </w:rPr>
        <w:t>This study will employ a mixed methods approach, which will include the following overlapping efforts:</w:t>
      </w:r>
    </w:p>
    <w:p w14:paraId="329808F3" w14:textId="16068B7A" w:rsidR="00DE5929" w:rsidRPr="00D75C96" w:rsidRDefault="00DE5929" w:rsidP="008C2CEE">
      <w:pPr>
        <w:pStyle w:val="BodyText"/>
        <w:spacing w:before="120"/>
        <w:ind w:right="533"/>
        <w:rPr>
          <w:rFonts w:ascii="Calibri" w:eastAsia="Georgia" w:hAnsi="Calibri" w:cs="Calibri"/>
          <w:sz w:val="22"/>
          <w:szCs w:val="22"/>
        </w:rPr>
      </w:pPr>
      <w:r w:rsidRPr="00D75C96">
        <w:rPr>
          <w:rFonts w:ascii="Calibri" w:eastAsia="Georgia" w:hAnsi="Calibri" w:cs="Calibri"/>
          <w:b/>
          <w:bCs/>
          <w:sz w:val="22"/>
          <w:szCs w:val="22"/>
        </w:rPr>
        <w:t>Update gateway community database</w:t>
      </w:r>
      <w:r w:rsidR="00B83FE0" w:rsidRPr="00D75C96">
        <w:rPr>
          <w:rFonts w:ascii="Calibri" w:eastAsia="Georgia" w:hAnsi="Calibri" w:cs="Calibri"/>
          <w:b/>
          <w:bCs/>
          <w:sz w:val="22"/>
          <w:szCs w:val="22"/>
        </w:rPr>
        <w:t xml:space="preserve"> and contacts</w:t>
      </w:r>
      <w:r w:rsidRPr="00D75C96">
        <w:rPr>
          <w:rFonts w:ascii="Calibri" w:eastAsia="Georgia" w:hAnsi="Calibri" w:cs="Calibri"/>
          <w:b/>
          <w:bCs/>
          <w:sz w:val="22"/>
          <w:szCs w:val="22"/>
        </w:rPr>
        <w:t xml:space="preserve">: </w:t>
      </w:r>
      <w:r w:rsidRPr="00D75C96">
        <w:rPr>
          <w:rFonts w:ascii="Calibri" w:eastAsia="Georgia" w:hAnsi="Calibri" w:cs="Calibri"/>
          <w:sz w:val="22"/>
          <w:szCs w:val="22"/>
        </w:rPr>
        <w:t xml:space="preserve">Prior to our NITC-funded 2018 study, there was no established measurable definition of a gateway community. </w:t>
      </w:r>
      <w:r w:rsidR="00B83FE0" w:rsidRPr="00D75C96">
        <w:rPr>
          <w:rFonts w:ascii="Calibri" w:eastAsia="Georgia" w:hAnsi="Calibri" w:cs="Calibri"/>
          <w:sz w:val="22"/>
          <w:szCs w:val="22"/>
        </w:rPr>
        <w:t>D</w:t>
      </w:r>
      <w:r w:rsidRPr="00D75C96">
        <w:rPr>
          <w:rFonts w:ascii="Calibri" w:eastAsia="Georgia" w:hAnsi="Calibri" w:cs="Calibri"/>
          <w:sz w:val="22"/>
          <w:szCs w:val="22"/>
        </w:rPr>
        <w:t>rawing on past research and thinking, we defined gateway communities as communities of less than 25,000 people that are 1) within 10 linear miles of the boundary of a national park, national monument, national forest, state park, wild and scenic river or other major river or lake, and 2) further than 15 miles from a census-designated urbanized area by road (see Stoker et al. 202</w:t>
      </w:r>
      <w:r w:rsidR="009D4BE0" w:rsidRPr="00D75C96">
        <w:rPr>
          <w:rFonts w:ascii="Calibri" w:eastAsia="Georgia" w:hAnsi="Calibri" w:cs="Calibri"/>
          <w:sz w:val="22"/>
          <w:szCs w:val="22"/>
        </w:rPr>
        <w:t>1</w:t>
      </w:r>
      <w:r w:rsidRPr="00D75C96">
        <w:rPr>
          <w:rFonts w:ascii="Calibri" w:eastAsia="Georgia" w:hAnsi="Calibri" w:cs="Calibri"/>
          <w:sz w:val="22"/>
          <w:szCs w:val="22"/>
        </w:rPr>
        <w:t xml:space="preserve"> for more explanation). For our 2018 study, we used GIS to identify all communities that fit this definition between the western side of the Sierra Nevada Mountains and the eastern side of the Rocky Mountains in the U.S., which </w:t>
      </w:r>
      <w:r w:rsidR="00054F5B" w:rsidRPr="00D75C96">
        <w:rPr>
          <w:rFonts w:ascii="Calibri" w:eastAsia="Georgia" w:hAnsi="Calibri" w:cs="Calibri"/>
          <w:sz w:val="22"/>
          <w:szCs w:val="22"/>
        </w:rPr>
        <w:t xml:space="preserve">produced a total of </w:t>
      </w:r>
      <w:r w:rsidRPr="00D75C96">
        <w:rPr>
          <w:rFonts w:ascii="Calibri" w:eastAsia="Georgia" w:hAnsi="Calibri" w:cs="Calibri"/>
          <w:sz w:val="22"/>
          <w:szCs w:val="22"/>
        </w:rPr>
        <w:t xml:space="preserve">1,522 western gateway communities. </w:t>
      </w:r>
      <w:r w:rsidR="00054F5B" w:rsidRPr="00D75C96">
        <w:rPr>
          <w:rFonts w:ascii="Calibri" w:eastAsia="Georgia" w:hAnsi="Calibri" w:cs="Calibri"/>
          <w:sz w:val="22"/>
          <w:szCs w:val="22"/>
        </w:rPr>
        <w:t>We then utilized publicly available records to identify public official contacts in as many of those communities as possible, for a total of more than 1,200 contacts. We have since expanded our gateway community database to include communities reaching all the way to the Pacific Coast, not just the western side of the Sierras; the database now includes more than 1,800 communities that fit our gateway community definition. We will once again engage students in</w:t>
      </w:r>
      <w:r w:rsidR="0000615B" w:rsidRPr="00D75C96">
        <w:rPr>
          <w:rFonts w:ascii="Calibri" w:eastAsia="Georgia" w:hAnsi="Calibri" w:cs="Calibri"/>
          <w:sz w:val="22"/>
          <w:szCs w:val="22"/>
        </w:rPr>
        <w:t xml:space="preserve"> utilizing publicly available records to</w:t>
      </w:r>
      <w:r w:rsidR="00054F5B" w:rsidRPr="00D75C96">
        <w:rPr>
          <w:rFonts w:ascii="Calibri" w:eastAsia="Georgia" w:hAnsi="Calibri" w:cs="Calibri"/>
          <w:sz w:val="22"/>
          <w:szCs w:val="22"/>
        </w:rPr>
        <w:t xml:space="preserve"> update the public official contacts in our gateway community database and </w:t>
      </w:r>
      <w:r w:rsidR="0000615B" w:rsidRPr="00D75C96">
        <w:rPr>
          <w:rFonts w:ascii="Calibri" w:eastAsia="Georgia" w:hAnsi="Calibri" w:cs="Calibri"/>
          <w:sz w:val="22"/>
          <w:szCs w:val="22"/>
        </w:rPr>
        <w:t xml:space="preserve">to </w:t>
      </w:r>
      <w:r w:rsidR="00054F5B" w:rsidRPr="00D75C96">
        <w:rPr>
          <w:rFonts w:ascii="Calibri" w:eastAsia="Georgia" w:hAnsi="Calibri" w:cs="Calibri"/>
          <w:sz w:val="22"/>
          <w:szCs w:val="22"/>
        </w:rPr>
        <w:t>identify contacts for the communities that have been added since 2018. We will also utilize the email listserv</w:t>
      </w:r>
      <w:r w:rsidR="0000615B" w:rsidRPr="00D75C96">
        <w:rPr>
          <w:rFonts w:ascii="Calibri" w:eastAsia="Georgia" w:hAnsi="Calibri" w:cs="Calibri"/>
          <w:sz w:val="22"/>
          <w:szCs w:val="22"/>
        </w:rPr>
        <w:t>s</w:t>
      </w:r>
      <w:r w:rsidR="00054F5B" w:rsidRPr="00D75C96">
        <w:rPr>
          <w:rFonts w:ascii="Calibri" w:eastAsia="Georgia" w:hAnsi="Calibri" w:cs="Calibri"/>
          <w:sz w:val="22"/>
          <w:szCs w:val="22"/>
        </w:rPr>
        <w:t xml:space="preserve"> of the Gateway and Natural Amenity Region (GNAR) Initiative </w:t>
      </w:r>
      <w:r w:rsidR="00B83FE0" w:rsidRPr="00D75C96">
        <w:rPr>
          <w:rFonts w:ascii="Calibri" w:eastAsia="Georgia" w:hAnsi="Calibri" w:cs="Calibri"/>
          <w:sz w:val="22"/>
          <w:szCs w:val="22"/>
        </w:rPr>
        <w:t>(</w:t>
      </w:r>
      <w:hyperlink r:id="rId9" w:history="1">
        <w:r w:rsidR="00B83FE0" w:rsidRPr="00D75C96">
          <w:rPr>
            <w:rFonts w:ascii="Calibri" w:hAnsi="Calibri" w:cs="Calibri"/>
            <w:sz w:val="22"/>
            <w:szCs w:val="22"/>
          </w:rPr>
          <w:t>https://www.usu.edu/gnar/</w:t>
        </w:r>
      </w:hyperlink>
      <w:r w:rsidR="00B83FE0" w:rsidRPr="00D75C96">
        <w:rPr>
          <w:rFonts w:ascii="Calibri" w:eastAsia="Georgia" w:hAnsi="Calibri" w:cs="Calibri"/>
          <w:sz w:val="22"/>
          <w:szCs w:val="22"/>
        </w:rPr>
        <w:t xml:space="preserve">) </w:t>
      </w:r>
      <w:r w:rsidR="00054F5B" w:rsidRPr="00D75C96">
        <w:rPr>
          <w:rFonts w:ascii="Calibri" w:eastAsia="Georgia" w:hAnsi="Calibri" w:cs="Calibri"/>
          <w:sz w:val="22"/>
          <w:szCs w:val="22"/>
        </w:rPr>
        <w:t xml:space="preserve">and </w:t>
      </w:r>
      <w:r w:rsidR="0000615B" w:rsidRPr="00D75C96">
        <w:rPr>
          <w:rFonts w:ascii="Calibri" w:eastAsia="Georgia" w:hAnsi="Calibri" w:cs="Calibri"/>
          <w:sz w:val="22"/>
          <w:szCs w:val="22"/>
        </w:rPr>
        <w:t>GNAR Initiative</w:t>
      </w:r>
      <w:r w:rsidR="00054F5B" w:rsidRPr="00D75C96">
        <w:rPr>
          <w:rFonts w:ascii="Calibri" w:eastAsia="Georgia" w:hAnsi="Calibri" w:cs="Calibri"/>
          <w:sz w:val="22"/>
          <w:szCs w:val="22"/>
        </w:rPr>
        <w:t xml:space="preserve"> partners</w:t>
      </w:r>
      <w:r w:rsidR="00BC25A7" w:rsidRPr="00D75C96">
        <w:rPr>
          <w:rFonts w:ascii="Calibri" w:eastAsia="Georgia" w:hAnsi="Calibri" w:cs="Calibri"/>
          <w:sz w:val="22"/>
          <w:szCs w:val="22"/>
        </w:rPr>
        <w:t>—</w:t>
      </w:r>
      <w:r w:rsidR="00054F5B" w:rsidRPr="00D75C96">
        <w:rPr>
          <w:rFonts w:ascii="Calibri" w:eastAsia="Georgia" w:hAnsi="Calibri" w:cs="Calibri"/>
          <w:sz w:val="22"/>
          <w:szCs w:val="22"/>
        </w:rPr>
        <w:t>such as the Idaho Chapter of the American Planning Association</w:t>
      </w:r>
      <w:r w:rsidR="00BC25A7" w:rsidRPr="00D75C96">
        <w:rPr>
          <w:rFonts w:ascii="Calibri" w:eastAsia="Georgia" w:hAnsi="Calibri" w:cs="Calibri"/>
          <w:sz w:val="22"/>
          <w:szCs w:val="22"/>
        </w:rPr>
        <w:t>, t</w:t>
      </w:r>
      <w:r w:rsidR="00054F5B" w:rsidRPr="00D75C96">
        <w:rPr>
          <w:rFonts w:ascii="Calibri" w:eastAsia="Georgia" w:hAnsi="Calibri" w:cs="Calibri"/>
          <w:sz w:val="22"/>
          <w:szCs w:val="22"/>
        </w:rPr>
        <w:t xml:space="preserve">he </w:t>
      </w:r>
      <w:r w:rsidR="00BC25A7" w:rsidRPr="00D75C96">
        <w:rPr>
          <w:rFonts w:ascii="Calibri" w:eastAsia="Georgia" w:hAnsi="Calibri" w:cs="Calibri"/>
          <w:sz w:val="22"/>
          <w:szCs w:val="22"/>
        </w:rPr>
        <w:t>Colorado Association of Ski Towns,</w:t>
      </w:r>
      <w:r w:rsidR="00054F5B" w:rsidRPr="00D75C96">
        <w:rPr>
          <w:rFonts w:ascii="Calibri" w:eastAsia="Georgia" w:hAnsi="Calibri" w:cs="Calibri"/>
          <w:sz w:val="22"/>
          <w:szCs w:val="22"/>
        </w:rPr>
        <w:t xml:space="preserve"> </w:t>
      </w:r>
      <w:r w:rsidR="00BC25A7" w:rsidRPr="00D75C96">
        <w:rPr>
          <w:rFonts w:ascii="Calibri" w:eastAsia="Georgia" w:hAnsi="Calibri" w:cs="Calibri"/>
          <w:sz w:val="22"/>
          <w:szCs w:val="22"/>
        </w:rPr>
        <w:t>and Community Builders—</w:t>
      </w:r>
      <w:r w:rsidR="00054F5B" w:rsidRPr="00D75C96">
        <w:rPr>
          <w:rFonts w:ascii="Calibri" w:eastAsia="Georgia" w:hAnsi="Calibri" w:cs="Calibri"/>
          <w:sz w:val="22"/>
          <w:szCs w:val="22"/>
        </w:rPr>
        <w:t xml:space="preserve">to help populate our list of gateway community public official contacts. </w:t>
      </w:r>
      <w:r w:rsidR="00A2607A" w:rsidRPr="00D75C96">
        <w:rPr>
          <w:rFonts w:ascii="Calibri" w:eastAsia="Georgia" w:hAnsi="Calibri" w:cs="Calibri"/>
          <w:sz w:val="22"/>
          <w:szCs w:val="22"/>
        </w:rPr>
        <w:t>We will include contacts for elected officials, transportation and housing professionals, planners, and city administrators in gateway communities</w:t>
      </w:r>
      <w:r w:rsidR="008A13F1" w:rsidRPr="00D75C96">
        <w:rPr>
          <w:rFonts w:ascii="Calibri" w:eastAsia="Georgia" w:hAnsi="Calibri" w:cs="Calibri"/>
          <w:sz w:val="22"/>
          <w:szCs w:val="22"/>
        </w:rPr>
        <w:t>.</w:t>
      </w:r>
    </w:p>
    <w:p w14:paraId="7E6F40B1" w14:textId="27D7F629" w:rsidR="008C2CEE" w:rsidRPr="00D75C96" w:rsidRDefault="00F64A24" w:rsidP="008C2CEE">
      <w:pPr>
        <w:pStyle w:val="BodyText"/>
        <w:spacing w:before="120"/>
        <w:ind w:right="533"/>
        <w:rPr>
          <w:rFonts w:ascii="Calibri" w:eastAsia="Georgia" w:hAnsi="Calibri" w:cs="Calibri"/>
          <w:sz w:val="22"/>
          <w:szCs w:val="22"/>
        </w:rPr>
      </w:pPr>
      <w:r w:rsidRPr="00D75C96">
        <w:rPr>
          <w:rFonts w:ascii="Calibri" w:eastAsia="Georgia" w:hAnsi="Calibri" w:cs="Calibri"/>
          <w:b/>
          <w:bCs/>
          <w:sz w:val="22"/>
          <w:szCs w:val="22"/>
        </w:rPr>
        <w:t>R</w:t>
      </w:r>
      <w:r w:rsidR="008C2CEE" w:rsidRPr="00D75C96">
        <w:rPr>
          <w:rFonts w:ascii="Calibri" w:eastAsia="Georgia" w:hAnsi="Calibri" w:cs="Calibri"/>
          <w:b/>
          <w:bCs/>
          <w:sz w:val="22"/>
          <w:szCs w:val="22"/>
        </w:rPr>
        <w:t>egional survey</w:t>
      </w:r>
      <w:r w:rsidRPr="00D75C96">
        <w:rPr>
          <w:rFonts w:ascii="Calibri" w:eastAsia="Georgia" w:hAnsi="Calibri" w:cs="Calibri"/>
          <w:b/>
          <w:bCs/>
          <w:sz w:val="22"/>
          <w:szCs w:val="22"/>
        </w:rPr>
        <w:t xml:space="preserve">: </w:t>
      </w:r>
      <w:r w:rsidR="00B83FE0" w:rsidRPr="00D75C96">
        <w:rPr>
          <w:rFonts w:ascii="Calibri" w:eastAsia="Georgia" w:hAnsi="Calibri" w:cs="Calibri"/>
          <w:sz w:val="22"/>
          <w:szCs w:val="22"/>
        </w:rPr>
        <w:t>Using our gateway community database, w</w:t>
      </w:r>
      <w:r w:rsidR="008C2CEE" w:rsidRPr="00D75C96">
        <w:rPr>
          <w:rFonts w:ascii="Calibri" w:eastAsia="Georgia" w:hAnsi="Calibri" w:cs="Calibri"/>
          <w:sz w:val="22"/>
          <w:szCs w:val="22"/>
        </w:rPr>
        <w:t xml:space="preserve">e will administer a regional survey to examine the extent to which gateway communities across the </w:t>
      </w:r>
      <w:r w:rsidR="009C103C" w:rsidRPr="00D75C96">
        <w:rPr>
          <w:rFonts w:ascii="Calibri" w:eastAsia="Georgia" w:hAnsi="Calibri" w:cs="Calibri"/>
          <w:sz w:val="22"/>
          <w:szCs w:val="22"/>
        </w:rPr>
        <w:t>W</w:t>
      </w:r>
      <w:r w:rsidR="008C2CEE" w:rsidRPr="00D75C96">
        <w:rPr>
          <w:rFonts w:ascii="Calibri" w:eastAsia="Georgia" w:hAnsi="Calibri" w:cs="Calibri"/>
          <w:sz w:val="22"/>
          <w:szCs w:val="22"/>
        </w:rPr>
        <w:t>est are experiencing interconnected transportation, housing, and land use issues</w:t>
      </w:r>
      <w:r w:rsidR="00981387" w:rsidRPr="00D75C96">
        <w:rPr>
          <w:rFonts w:ascii="Calibri" w:eastAsia="Georgia" w:hAnsi="Calibri" w:cs="Calibri"/>
          <w:sz w:val="22"/>
          <w:szCs w:val="22"/>
        </w:rPr>
        <w:t xml:space="preserve"> and how these places have been affected by COVID-19-related changes in amenity migration and visitation</w:t>
      </w:r>
      <w:r w:rsidR="008C2CEE" w:rsidRPr="00D75C96">
        <w:rPr>
          <w:rFonts w:ascii="Calibri" w:eastAsia="Georgia" w:hAnsi="Calibri" w:cs="Calibri"/>
          <w:sz w:val="22"/>
          <w:szCs w:val="22"/>
        </w:rPr>
        <w:t xml:space="preserve">. The survey will </w:t>
      </w:r>
      <w:r w:rsidR="00981387" w:rsidRPr="00D75C96">
        <w:rPr>
          <w:rFonts w:ascii="Calibri" w:eastAsia="Georgia" w:hAnsi="Calibri" w:cs="Calibri"/>
          <w:sz w:val="22"/>
          <w:szCs w:val="22"/>
        </w:rPr>
        <w:t xml:space="preserve">also </w:t>
      </w:r>
      <w:r w:rsidR="008C2CEE" w:rsidRPr="00D75C96">
        <w:rPr>
          <w:rFonts w:ascii="Calibri" w:eastAsia="Georgia" w:hAnsi="Calibri" w:cs="Calibri"/>
          <w:sz w:val="22"/>
          <w:szCs w:val="22"/>
        </w:rPr>
        <w:t xml:space="preserve">explore what, if anything, these communities are doing to address </w:t>
      </w:r>
      <w:r w:rsidR="00981387" w:rsidRPr="00D75C96">
        <w:rPr>
          <w:rFonts w:ascii="Calibri" w:eastAsia="Georgia" w:hAnsi="Calibri" w:cs="Calibri"/>
          <w:sz w:val="22"/>
          <w:szCs w:val="22"/>
        </w:rPr>
        <w:t>transportation, housing, and land use</w:t>
      </w:r>
      <w:r w:rsidR="008C2CEE" w:rsidRPr="00D75C96">
        <w:rPr>
          <w:rFonts w:ascii="Calibri" w:eastAsia="Georgia" w:hAnsi="Calibri" w:cs="Calibri"/>
          <w:sz w:val="22"/>
          <w:szCs w:val="22"/>
        </w:rPr>
        <w:t xml:space="preserve"> challenges</w:t>
      </w:r>
      <w:r w:rsidR="00981387" w:rsidRPr="00D75C96">
        <w:rPr>
          <w:rFonts w:ascii="Calibri" w:eastAsia="Georgia" w:hAnsi="Calibri" w:cs="Calibri"/>
          <w:sz w:val="22"/>
          <w:szCs w:val="22"/>
        </w:rPr>
        <w:t>, barriers they are encountering along the way, and</w:t>
      </w:r>
      <w:r w:rsidR="008C2CEE" w:rsidRPr="00D75C96">
        <w:rPr>
          <w:rFonts w:ascii="Calibri" w:eastAsia="Georgia" w:hAnsi="Calibri" w:cs="Calibri"/>
          <w:sz w:val="22"/>
          <w:szCs w:val="22"/>
        </w:rPr>
        <w:t xml:space="preserve"> how interventions appear to be working. The survey will also assess whether these communities have reliable information on their commuter-sheds and what information, resources, and planning support might help them address their </w:t>
      </w:r>
      <w:r w:rsidR="00BC25A7" w:rsidRPr="00D75C96">
        <w:rPr>
          <w:rFonts w:ascii="Calibri" w:eastAsia="Georgia" w:hAnsi="Calibri" w:cs="Calibri"/>
          <w:sz w:val="22"/>
          <w:szCs w:val="22"/>
        </w:rPr>
        <w:t xml:space="preserve">interconnected </w:t>
      </w:r>
      <w:r w:rsidR="008C2CEE" w:rsidRPr="00D75C96">
        <w:rPr>
          <w:rFonts w:ascii="Calibri" w:eastAsia="Georgia" w:hAnsi="Calibri" w:cs="Calibri"/>
          <w:sz w:val="22"/>
          <w:szCs w:val="22"/>
        </w:rPr>
        <w:t xml:space="preserve">transportation, housing, and land use issues. While we have broad data on some of these </w:t>
      </w:r>
      <w:r w:rsidR="00B83FE0" w:rsidRPr="00D75C96">
        <w:rPr>
          <w:rFonts w:ascii="Calibri" w:eastAsia="Georgia" w:hAnsi="Calibri" w:cs="Calibri"/>
          <w:sz w:val="22"/>
          <w:szCs w:val="22"/>
        </w:rPr>
        <w:t>subjects</w:t>
      </w:r>
      <w:r w:rsidR="008C2CEE" w:rsidRPr="00D75C96">
        <w:rPr>
          <w:rFonts w:ascii="Calibri" w:eastAsia="Georgia" w:hAnsi="Calibri" w:cs="Calibri"/>
          <w:sz w:val="22"/>
          <w:szCs w:val="22"/>
        </w:rPr>
        <w:t xml:space="preserve"> from our survey conducted in 2018, this </w:t>
      </w:r>
      <w:r w:rsidR="00783D94" w:rsidRPr="00D75C96">
        <w:rPr>
          <w:rFonts w:ascii="Calibri" w:eastAsia="Georgia" w:hAnsi="Calibri" w:cs="Calibri"/>
          <w:sz w:val="22"/>
          <w:szCs w:val="22"/>
        </w:rPr>
        <w:t xml:space="preserve">survey will </w:t>
      </w:r>
      <w:r w:rsidR="008C2CEE" w:rsidRPr="00D75C96">
        <w:rPr>
          <w:rFonts w:ascii="Calibri" w:eastAsia="Georgia" w:hAnsi="Calibri" w:cs="Calibri"/>
          <w:sz w:val="22"/>
          <w:szCs w:val="22"/>
        </w:rPr>
        <w:t xml:space="preserve">gather more in-depth information on these topics to allow us to address our </w:t>
      </w:r>
      <w:r w:rsidR="008A13F1" w:rsidRPr="00D75C96">
        <w:rPr>
          <w:rFonts w:ascii="Calibri" w:eastAsia="Georgia" w:hAnsi="Calibri" w:cs="Calibri"/>
          <w:sz w:val="22"/>
          <w:szCs w:val="22"/>
        </w:rPr>
        <w:t xml:space="preserve">above-listed </w:t>
      </w:r>
      <w:r w:rsidR="008C2CEE" w:rsidRPr="00D75C96">
        <w:rPr>
          <w:rFonts w:ascii="Calibri" w:eastAsia="Georgia" w:hAnsi="Calibri" w:cs="Calibri"/>
          <w:sz w:val="22"/>
          <w:szCs w:val="22"/>
        </w:rPr>
        <w:t xml:space="preserve">research questions. </w:t>
      </w:r>
      <w:r w:rsidR="00783D94" w:rsidRPr="00D75C96">
        <w:rPr>
          <w:rFonts w:ascii="Calibri" w:eastAsia="Georgia" w:hAnsi="Calibri" w:cs="Calibri"/>
          <w:sz w:val="22"/>
          <w:szCs w:val="22"/>
        </w:rPr>
        <w:t>Additionally, we know from observation that many gateway communities have grown and</w:t>
      </w:r>
      <w:r w:rsidR="00B83FE0" w:rsidRPr="00D75C96">
        <w:rPr>
          <w:rFonts w:ascii="Calibri" w:eastAsia="Georgia" w:hAnsi="Calibri" w:cs="Calibri"/>
          <w:sz w:val="22"/>
          <w:szCs w:val="22"/>
        </w:rPr>
        <w:t>/or</w:t>
      </w:r>
      <w:r w:rsidR="00783D94" w:rsidRPr="00D75C96">
        <w:rPr>
          <w:rFonts w:ascii="Calibri" w:eastAsia="Georgia" w:hAnsi="Calibri" w:cs="Calibri"/>
          <w:sz w:val="22"/>
          <w:szCs w:val="22"/>
        </w:rPr>
        <w:t xml:space="preserve"> experienced increased visitation since 2018—</w:t>
      </w:r>
      <w:r w:rsidR="000B7C16" w:rsidRPr="00D75C96">
        <w:rPr>
          <w:rFonts w:ascii="Calibri" w:eastAsia="Georgia" w:hAnsi="Calibri" w:cs="Calibri"/>
          <w:sz w:val="22"/>
          <w:szCs w:val="22"/>
        </w:rPr>
        <w:t>some of them</w:t>
      </w:r>
      <w:r w:rsidR="00783D94" w:rsidRPr="00D75C96">
        <w:rPr>
          <w:rFonts w:ascii="Calibri" w:eastAsia="Georgia" w:hAnsi="Calibri" w:cs="Calibri"/>
          <w:sz w:val="22"/>
          <w:szCs w:val="22"/>
        </w:rPr>
        <w:t xml:space="preserve"> quite drastically, especially in the </w:t>
      </w:r>
      <w:r w:rsidR="0000615B" w:rsidRPr="00D75C96">
        <w:rPr>
          <w:rFonts w:ascii="Calibri" w:eastAsia="Georgia" w:hAnsi="Calibri" w:cs="Calibri"/>
          <w:sz w:val="22"/>
          <w:szCs w:val="22"/>
        </w:rPr>
        <w:t>aftermath of COVID-19</w:t>
      </w:r>
      <w:r w:rsidR="00783D94" w:rsidRPr="00D75C96">
        <w:rPr>
          <w:rFonts w:ascii="Calibri" w:eastAsia="Georgia" w:hAnsi="Calibri" w:cs="Calibri"/>
          <w:sz w:val="22"/>
          <w:szCs w:val="22"/>
        </w:rPr>
        <w:t xml:space="preserve">—and many are much farther along in experiencing and/or responding to housing, transportation, and land use issues now than they were three years ago. This new survey will allow us to </w:t>
      </w:r>
      <w:r w:rsidR="00981387" w:rsidRPr="00D75C96">
        <w:rPr>
          <w:rFonts w:ascii="Calibri" w:eastAsia="Georgia" w:hAnsi="Calibri" w:cs="Calibri"/>
          <w:sz w:val="22"/>
          <w:szCs w:val="22"/>
        </w:rPr>
        <w:t>collect up-to-date information on the status of planning and development challenges in western gateway communities, thereby creating a longitudinal dataset that we can use to explore</w:t>
      </w:r>
      <w:r w:rsidR="00783D94" w:rsidRPr="00D75C96">
        <w:rPr>
          <w:rFonts w:ascii="Calibri" w:eastAsia="Georgia" w:hAnsi="Calibri" w:cs="Calibri"/>
          <w:sz w:val="22"/>
          <w:szCs w:val="22"/>
        </w:rPr>
        <w:t xml:space="preserve"> changes over time in these communities, </w:t>
      </w:r>
      <w:r w:rsidR="0000615B" w:rsidRPr="00D75C96">
        <w:rPr>
          <w:rFonts w:ascii="Calibri" w:eastAsia="Georgia" w:hAnsi="Calibri" w:cs="Calibri"/>
          <w:sz w:val="22"/>
          <w:szCs w:val="22"/>
        </w:rPr>
        <w:t xml:space="preserve">some of </w:t>
      </w:r>
      <w:r w:rsidR="00783D94" w:rsidRPr="00D75C96">
        <w:rPr>
          <w:rFonts w:ascii="Calibri" w:eastAsia="Georgia" w:hAnsi="Calibri" w:cs="Calibri"/>
          <w:sz w:val="22"/>
          <w:szCs w:val="22"/>
        </w:rPr>
        <w:t xml:space="preserve">which are </w:t>
      </w:r>
      <w:r w:rsidR="0000615B" w:rsidRPr="00D75C96">
        <w:rPr>
          <w:rFonts w:ascii="Calibri" w:eastAsia="Georgia" w:hAnsi="Calibri" w:cs="Calibri"/>
          <w:sz w:val="22"/>
          <w:szCs w:val="22"/>
        </w:rPr>
        <w:t>among</w:t>
      </w:r>
      <w:r w:rsidR="00783D94" w:rsidRPr="00D75C96">
        <w:rPr>
          <w:rFonts w:ascii="Calibri" w:eastAsia="Georgia" w:hAnsi="Calibri" w:cs="Calibri"/>
          <w:sz w:val="22"/>
          <w:szCs w:val="22"/>
        </w:rPr>
        <w:t xml:space="preserve"> the fastest growing areas in the United States. </w:t>
      </w:r>
      <w:r w:rsidR="00054F5B" w:rsidRPr="00D75C96">
        <w:rPr>
          <w:rFonts w:ascii="Calibri" w:eastAsia="Georgia" w:hAnsi="Calibri" w:cs="Calibri"/>
          <w:sz w:val="22"/>
          <w:szCs w:val="22"/>
        </w:rPr>
        <w:t>We will send the survey to</w:t>
      </w:r>
      <w:r w:rsidR="00B83FE0" w:rsidRPr="00D75C96">
        <w:rPr>
          <w:rFonts w:ascii="Calibri" w:eastAsia="Georgia" w:hAnsi="Calibri" w:cs="Calibri"/>
          <w:sz w:val="22"/>
          <w:szCs w:val="22"/>
        </w:rPr>
        <w:t xml:space="preserve"> all the</w:t>
      </w:r>
      <w:r w:rsidR="00054F5B" w:rsidRPr="00D75C96">
        <w:rPr>
          <w:rFonts w:ascii="Calibri" w:eastAsia="Georgia" w:hAnsi="Calibri" w:cs="Calibri"/>
          <w:sz w:val="22"/>
          <w:szCs w:val="22"/>
        </w:rPr>
        <w:t xml:space="preserve"> public official contacts in our gateway community database.</w:t>
      </w:r>
      <w:r w:rsidR="00981387" w:rsidRPr="00D75C96">
        <w:rPr>
          <w:rFonts w:ascii="Calibri" w:eastAsia="Georgia" w:hAnsi="Calibri" w:cs="Calibri"/>
          <w:sz w:val="22"/>
          <w:szCs w:val="22"/>
        </w:rPr>
        <w:t xml:space="preserve"> We will</w:t>
      </w:r>
      <w:r w:rsidR="008C2CEE" w:rsidRPr="00D75C96">
        <w:rPr>
          <w:rFonts w:ascii="Calibri" w:eastAsia="Georgia" w:hAnsi="Calibri" w:cs="Calibri"/>
          <w:sz w:val="22"/>
          <w:szCs w:val="22"/>
        </w:rPr>
        <w:t xml:space="preserve"> administer the survey online </w:t>
      </w:r>
      <w:r w:rsidR="00981387" w:rsidRPr="00D75C96">
        <w:rPr>
          <w:rFonts w:ascii="Calibri" w:eastAsia="Georgia" w:hAnsi="Calibri" w:cs="Calibri"/>
          <w:sz w:val="22"/>
          <w:szCs w:val="22"/>
        </w:rPr>
        <w:t>using</w:t>
      </w:r>
      <w:r w:rsidR="008C2CEE" w:rsidRPr="00D75C96">
        <w:rPr>
          <w:rFonts w:ascii="Calibri" w:eastAsia="Georgia" w:hAnsi="Calibri" w:cs="Calibri"/>
          <w:sz w:val="22"/>
          <w:szCs w:val="22"/>
        </w:rPr>
        <w:t xml:space="preserve"> </w:t>
      </w:r>
      <w:r w:rsidR="00981387" w:rsidRPr="00D75C96">
        <w:rPr>
          <w:rFonts w:ascii="Calibri" w:eastAsia="Georgia" w:hAnsi="Calibri" w:cs="Calibri"/>
          <w:sz w:val="22"/>
          <w:szCs w:val="22"/>
        </w:rPr>
        <w:t>Qualtrics</w:t>
      </w:r>
      <w:r w:rsidR="008C2CEE" w:rsidRPr="00D75C96">
        <w:rPr>
          <w:rFonts w:ascii="Calibri" w:eastAsia="Georgia" w:hAnsi="Calibri" w:cs="Calibri"/>
          <w:sz w:val="22"/>
          <w:szCs w:val="22"/>
        </w:rPr>
        <w:t xml:space="preserve"> software, which worked well for our last survey. </w:t>
      </w:r>
    </w:p>
    <w:p w14:paraId="58E87C1A" w14:textId="3B94F877" w:rsidR="00783D94" w:rsidRPr="00D75C96" w:rsidRDefault="00F64A24" w:rsidP="008C2CEE">
      <w:pPr>
        <w:pStyle w:val="BodyText"/>
        <w:spacing w:before="120"/>
        <w:ind w:right="533"/>
        <w:rPr>
          <w:rFonts w:ascii="Calibri" w:eastAsia="Georgia" w:hAnsi="Calibri" w:cs="Calibri"/>
          <w:b/>
          <w:bCs/>
          <w:sz w:val="22"/>
          <w:szCs w:val="22"/>
        </w:rPr>
      </w:pPr>
      <w:r w:rsidRPr="00D75C96">
        <w:rPr>
          <w:rFonts w:ascii="Calibri" w:eastAsia="Georgia" w:hAnsi="Calibri" w:cs="Calibri"/>
          <w:b/>
          <w:bCs/>
          <w:sz w:val="22"/>
          <w:szCs w:val="22"/>
        </w:rPr>
        <w:t xml:space="preserve">Census data </w:t>
      </w:r>
      <w:r w:rsidR="00783D94" w:rsidRPr="00D75C96">
        <w:rPr>
          <w:rFonts w:ascii="Calibri" w:eastAsia="Georgia" w:hAnsi="Calibri" w:cs="Calibri"/>
          <w:b/>
          <w:bCs/>
          <w:sz w:val="22"/>
          <w:szCs w:val="22"/>
        </w:rPr>
        <w:t>analysis</w:t>
      </w:r>
      <w:r w:rsidRPr="00D75C96">
        <w:rPr>
          <w:rFonts w:ascii="Calibri" w:eastAsia="Georgia" w:hAnsi="Calibri" w:cs="Calibri"/>
          <w:b/>
          <w:bCs/>
          <w:sz w:val="22"/>
          <w:szCs w:val="22"/>
        </w:rPr>
        <w:t xml:space="preserve">: </w:t>
      </w:r>
      <w:r w:rsidR="00783D94" w:rsidRPr="00D75C96">
        <w:rPr>
          <w:rFonts w:ascii="Calibri" w:eastAsia="Georgia" w:hAnsi="Calibri" w:cs="Calibri"/>
          <w:sz w:val="22"/>
          <w:szCs w:val="22"/>
        </w:rPr>
        <w:t xml:space="preserve">In tandem with our regional survey efforts, we will obtain up-to-date </w:t>
      </w:r>
      <w:r w:rsidR="004373F8" w:rsidRPr="00D75C96">
        <w:rPr>
          <w:rFonts w:ascii="Calibri" w:eastAsia="Georgia" w:hAnsi="Calibri" w:cs="Calibri"/>
          <w:sz w:val="22"/>
          <w:szCs w:val="22"/>
        </w:rPr>
        <w:t xml:space="preserve">U.S. </w:t>
      </w:r>
      <w:r w:rsidR="00783D94" w:rsidRPr="00D75C96">
        <w:rPr>
          <w:rFonts w:ascii="Calibri" w:eastAsia="Georgia" w:hAnsi="Calibri" w:cs="Calibri"/>
          <w:sz w:val="22"/>
          <w:szCs w:val="22"/>
        </w:rPr>
        <w:t xml:space="preserve">Census data on growth rates, average housing prices, rental prices, and other key </w:t>
      </w:r>
      <w:r w:rsidR="00BC25A7" w:rsidRPr="00D75C96">
        <w:rPr>
          <w:rFonts w:ascii="Calibri" w:eastAsia="Georgia" w:hAnsi="Calibri" w:cs="Calibri"/>
          <w:sz w:val="22"/>
          <w:szCs w:val="22"/>
        </w:rPr>
        <w:t xml:space="preserve">variables </w:t>
      </w:r>
      <w:r w:rsidR="00783D94" w:rsidRPr="00D75C96">
        <w:rPr>
          <w:rFonts w:ascii="Calibri" w:eastAsia="Georgia" w:hAnsi="Calibri" w:cs="Calibri"/>
          <w:sz w:val="22"/>
          <w:szCs w:val="22"/>
        </w:rPr>
        <w:t xml:space="preserve">for all </w:t>
      </w:r>
      <w:r w:rsidR="00783D94" w:rsidRPr="00D75C96">
        <w:rPr>
          <w:rFonts w:ascii="Calibri" w:eastAsia="Georgia" w:hAnsi="Calibri" w:cs="Calibri"/>
          <w:sz w:val="22"/>
          <w:szCs w:val="22"/>
        </w:rPr>
        <w:lastRenderedPageBreak/>
        <w:t>communities in our gateway community database</w:t>
      </w:r>
      <w:r w:rsidR="00DE5929" w:rsidRPr="00D75C96">
        <w:rPr>
          <w:rFonts w:ascii="Calibri" w:eastAsia="Georgia" w:hAnsi="Calibri" w:cs="Calibri"/>
          <w:sz w:val="22"/>
          <w:szCs w:val="22"/>
        </w:rPr>
        <w:t xml:space="preserve">. </w:t>
      </w:r>
      <w:r w:rsidR="00054F5B" w:rsidRPr="00D75C96">
        <w:rPr>
          <w:rFonts w:ascii="Calibri" w:eastAsia="Georgia" w:hAnsi="Calibri" w:cs="Calibri"/>
          <w:sz w:val="22"/>
          <w:szCs w:val="22"/>
        </w:rPr>
        <w:t>We</w:t>
      </w:r>
      <w:r w:rsidR="00783D94" w:rsidRPr="00D75C96">
        <w:rPr>
          <w:rFonts w:ascii="Calibri" w:eastAsia="Georgia" w:hAnsi="Calibri" w:cs="Calibri"/>
          <w:sz w:val="22"/>
          <w:szCs w:val="22"/>
        </w:rPr>
        <w:t xml:space="preserve"> will analyze this data to explore</w:t>
      </w:r>
      <w:r w:rsidRPr="00D75C96">
        <w:rPr>
          <w:rFonts w:ascii="Calibri" w:eastAsia="Georgia" w:hAnsi="Calibri" w:cs="Calibri"/>
          <w:sz w:val="22"/>
          <w:szCs w:val="22"/>
        </w:rPr>
        <w:t xml:space="preserve"> overall trends in western gateway communities</w:t>
      </w:r>
      <w:r w:rsidR="000B7C16" w:rsidRPr="00D75C96">
        <w:rPr>
          <w:rFonts w:ascii="Calibri" w:eastAsia="Georgia" w:hAnsi="Calibri" w:cs="Calibri"/>
          <w:sz w:val="22"/>
          <w:szCs w:val="22"/>
        </w:rPr>
        <w:t xml:space="preserve">, </w:t>
      </w:r>
      <w:r w:rsidRPr="00D75C96">
        <w:rPr>
          <w:rFonts w:ascii="Calibri" w:eastAsia="Georgia" w:hAnsi="Calibri" w:cs="Calibri"/>
          <w:sz w:val="22"/>
          <w:szCs w:val="22"/>
        </w:rPr>
        <w:t xml:space="preserve">how growth and development trends map onto our survey results, and </w:t>
      </w:r>
      <w:r w:rsidR="000B7C16" w:rsidRPr="00D75C96">
        <w:rPr>
          <w:rFonts w:ascii="Calibri" w:eastAsia="Georgia" w:hAnsi="Calibri" w:cs="Calibri"/>
          <w:sz w:val="22"/>
          <w:szCs w:val="22"/>
        </w:rPr>
        <w:t xml:space="preserve">how </w:t>
      </w:r>
      <w:r w:rsidR="00783D94" w:rsidRPr="00D75C96">
        <w:rPr>
          <w:rFonts w:ascii="Calibri" w:eastAsia="Georgia" w:hAnsi="Calibri" w:cs="Calibri"/>
          <w:sz w:val="22"/>
          <w:szCs w:val="22"/>
        </w:rPr>
        <w:t>growth and development</w:t>
      </w:r>
      <w:r w:rsidRPr="00D75C96">
        <w:rPr>
          <w:rFonts w:ascii="Calibri" w:eastAsia="Georgia" w:hAnsi="Calibri" w:cs="Calibri"/>
          <w:sz w:val="22"/>
          <w:szCs w:val="22"/>
        </w:rPr>
        <w:t xml:space="preserve"> trends in gateway communities </w:t>
      </w:r>
      <w:r w:rsidR="000B7C16" w:rsidRPr="00D75C96">
        <w:rPr>
          <w:rFonts w:ascii="Calibri" w:eastAsia="Georgia" w:hAnsi="Calibri" w:cs="Calibri"/>
          <w:sz w:val="22"/>
          <w:szCs w:val="22"/>
        </w:rPr>
        <w:t xml:space="preserve">compare </w:t>
      </w:r>
      <w:r w:rsidRPr="00D75C96">
        <w:rPr>
          <w:rFonts w:ascii="Calibri" w:eastAsia="Georgia" w:hAnsi="Calibri" w:cs="Calibri"/>
          <w:sz w:val="22"/>
          <w:szCs w:val="22"/>
        </w:rPr>
        <w:t>to those in other rural and urban communities.</w:t>
      </w:r>
      <w:r w:rsidR="00FF7674" w:rsidRPr="00D75C96">
        <w:rPr>
          <w:rFonts w:ascii="Calibri" w:eastAsia="Georgia" w:hAnsi="Calibri" w:cs="Calibri"/>
          <w:sz w:val="22"/>
          <w:szCs w:val="22"/>
        </w:rPr>
        <w:t xml:space="preserve"> </w:t>
      </w:r>
    </w:p>
    <w:p w14:paraId="519B22D0" w14:textId="4C0D1C69" w:rsidR="004373F8" w:rsidRPr="00D75C96" w:rsidRDefault="00783D94" w:rsidP="008C2CEE">
      <w:pPr>
        <w:pStyle w:val="BodyText"/>
        <w:spacing w:before="120"/>
        <w:ind w:right="691"/>
        <w:rPr>
          <w:rFonts w:ascii="Calibri" w:eastAsia="Georgia" w:hAnsi="Calibri" w:cs="Calibri"/>
          <w:sz w:val="22"/>
          <w:szCs w:val="22"/>
        </w:rPr>
      </w:pPr>
      <w:r w:rsidRPr="00D75C96">
        <w:rPr>
          <w:rFonts w:ascii="Calibri" w:eastAsia="Georgia" w:hAnsi="Calibri" w:cs="Calibri"/>
          <w:b/>
          <w:bCs/>
          <w:sz w:val="22"/>
          <w:szCs w:val="22"/>
        </w:rPr>
        <w:t xml:space="preserve">Case studies: </w:t>
      </w:r>
      <w:r w:rsidR="008C2CEE" w:rsidRPr="00D75C96">
        <w:rPr>
          <w:rFonts w:ascii="Calibri" w:eastAsia="Georgia" w:hAnsi="Calibri" w:cs="Calibri"/>
          <w:sz w:val="22"/>
          <w:szCs w:val="22"/>
        </w:rPr>
        <w:t xml:space="preserve">We will conduct </w:t>
      </w:r>
      <w:r w:rsidR="00B83FE0" w:rsidRPr="00D75C96">
        <w:rPr>
          <w:rFonts w:ascii="Calibri" w:eastAsia="Georgia" w:hAnsi="Calibri" w:cs="Calibri"/>
          <w:sz w:val="22"/>
          <w:szCs w:val="22"/>
        </w:rPr>
        <w:t>6-</w:t>
      </w:r>
      <w:r w:rsidR="008C2CEE" w:rsidRPr="00D75C96">
        <w:rPr>
          <w:rFonts w:ascii="Calibri" w:eastAsia="Georgia" w:hAnsi="Calibri" w:cs="Calibri"/>
          <w:sz w:val="22"/>
          <w:szCs w:val="22"/>
        </w:rPr>
        <w:t xml:space="preserve">10 in-depth case studies of gateway communities that are out front in experiencing and/or dealing with interconnected transportation, housing, and land use issues. </w:t>
      </w:r>
      <w:r w:rsidR="00A2607A" w:rsidRPr="00D75C96">
        <w:rPr>
          <w:rFonts w:ascii="Calibri" w:eastAsia="Georgia" w:hAnsi="Calibri" w:cs="Calibri"/>
          <w:sz w:val="22"/>
          <w:szCs w:val="22"/>
        </w:rPr>
        <w:t xml:space="preserve">The exact number of case studies we complete depends on how many students we engage via the </w:t>
      </w:r>
      <w:r w:rsidR="00943D4B" w:rsidRPr="00D75C96">
        <w:rPr>
          <w:rFonts w:ascii="Calibri" w:eastAsia="Georgia" w:hAnsi="Calibri" w:cs="Calibri"/>
          <w:sz w:val="22"/>
          <w:szCs w:val="22"/>
        </w:rPr>
        <w:t xml:space="preserve">GNAR Lab and </w:t>
      </w:r>
      <w:r w:rsidR="00A2607A" w:rsidRPr="00D75C96">
        <w:rPr>
          <w:rFonts w:ascii="Calibri" w:eastAsia="Georgia" w:hAnsi="Calibri" w:cs="Calibri"/>
          <w:sz w:val="22"/>
          <w:szCs w:val="22"/>
        </w:rPr>
        <w:t xml:space="preserve">workshop course (see </w:t>
      </w:r>
      <w:r w:rsidR="0095018C" w:rsidRPr="00D75C96">
        <w:rPr>
          <w:rFonts w:ascii="Calibri" w:eastAsia="Georgia" w:hAnsi="Calibri" w:cs="Calibri"/>
          <w:sz w:val="22"/>
          <w:szCs w:val="22"/>
        </w:rPr>
        <w:t>Task</w:t>
      </w:r>
      <w:r w:rsidR="00943D4B" w:rsidRPr="00D75C96">
        <w:rPr>
          <w:rFonts w:ascii="Calibri" w:eastAsia="Georgia" w:hAnsi="Calibri" w:cs="Calibri"/>
          <w:sz w:val="22"/>
          <w:szCs w:val="22"/>
        </w:rPr>
        <w:t>s</w:t>
      </w:r>
      <w:r w:rsidR="0095018C" w:rsidRPr="00D75C96">
        <w:rPr>
          <w:rFonts w:ascii="Calibri" w:eastAsia="Georgia" w:hAnsi="Calibri" w:cs="Calibri"/>
          <w:sz w:val="22"/>
          <w:szCs w:val="22"/>
        </w:rPr>
        <w:t xml:space="preserve"> 6</w:t>
      </w:r>
      <w:r w:rsidR="001940E0" w:rsidRPr="00D75C96">
        <w:rPr>
          <w:rFonts w:ascii="Calibri" w:eastAsia="Georgia" w:hAnsi="Calibri" w:cs="Calibri"/>
          <w:sz w:val="22"/>
          <w:szCs w:val="22"/>
        </w:rPr>
        <w:t xml:space="preserve"> </w:t>
      </w:r>
      <w:r w:rsidR="00943D4B" w:rsidRPr="00D75C96">
        <w:rPr>
          <w:rFonts w:ascii="Calibri" w:eastAsia="Georgia" w:hAnsi="Calibri" w:cs="Calibri"/>
          <w:sz w:val="22"/>
          <w:szCs w:val="22"/>
        </w:rPr>
        <w:t>and 7</w:t>
      </w:r>
      <w:r w:rsidR="00BC25A7" w:rsidRPr="00D75C96">
        <w:rPr>
          <w:rFonts w:ascii="Calibri" w:eastAsia="Georgia" w:hAnsi="Calibri" w:cs="Calibri"/>
          <w:sz w:val="22"/>
          <w:szCs w:val="22"/>
        </w:rPr>
        <w:t xml:space="preserve"> below</w:t>
      </w:r>
      <w:r w:rsidR="00A2607A" w:rsidRPr="00D75C96">
        <w:rPr>
          <w:rFonts w:ascii="Calibri" w:eastAsia="Georgia" w:hAnsi="Calibri" w:cs="Calibri"/>
          <w:sz w:val="22"/>
          <w:szCs w:val="22"/>
        </w:rPr>
        <w:t xml:space="preserve">). </w:t>
      </w:r>
      <w:r w:rsidRPr="00D75C96">
        <w:rPr>
          <w:rFonts w:ascii="Calibri" w:eastAsia="Georgia" w:hAnsi="Calibri" w:cs="Calibri"/>
          <w:sz w:val="22"/>
          <w:szCs w:val="22"/>
        </w:rPr>
        <w:t>For each case study community, we will</w:t>
      </w:r>
      <w:r w:rsidR="000B7C16" w:rsidRPr="00D75C96">
        <w:rPr>
          <w:rFonts w:ascii="Calibri" w:eastAsia="Georgia" w:hAnsi="Calibri" w:cs="Calibri"/>
          <w:sz w:val="22"/>
          <w:szCs w:val="22"/>
        </w:rPr>
        <w:t xml:space="preserve"> first map their commuter-shed</w:t>
      </w:r>
      <w:r w:rsidR="00BC25A7" w:rsidRPr="00D75C96">
        <w:rPr>
          <w:rFonts w:ascii="Calibri" w:eastAsia="Georgia" w:hAnsi="Calibri" w:cs="Calibri"/>
          <w:sz w:val="22"/>
          <w:szCs w:val="22"/>
        </w:rPr>
        <w:t xml:space="preserve">, as described below. </w:t>
      </w:r>
      <w:r w:rsidR="000B7C16" w:rsidRPr="00D75C96">
        <w:rPr>
          <w:rFonts w:ascii="Calibri" w:eastAsia="Georgia" w:hAnsi="Calibri" w:cs="Calibri"/>
          <w:sz w:val="22"/>
          <w:szCs w:val="22"/>
        </w:rPr>
        <w:t>We will simultaneously</w:t>
      </w:r>
      <w:r w:rsidRPr="00D75C96">
        <w:rPr>
          <w:rFonts w:ascii="Calibri" w:eastAsia="Georgia" w:hAnsi="Calibri" w:cs="Calibri"/>
          <w:sz w:val="22"/>
          <w:szCs w:val="22"/>
        </w:rPr>
        <w:t xml:space="preserve"> </w:t>
      </w:r>
      <w:r w:rsidR="000B7C16" w:rsidRPr="00D75C96">
        <w:rPr>
          <w:rFonts w:ascii="Calibri" w:eastAsia="Georgia" w:hAnsi="Calibri" w:cs="Calibri"/>
          <w:sz w:val="22"/>
          <w:szCs w:val="22"/>
        </w:rPr>
        <w:t xml:space="preserve">collect and analyze </w:t>
      </w:r>
      <w:r w:rsidRPr="00D75C96">
        <w:rPr>
          <w:rFonts w:ascii="Calibri" w:eastAsia="Georgia" w:hAnsi="Calibri" w:cs="Calibri"/>
          <w:sz w:val="22"/>
          <w:szCs w:val="22"/>
        </w:rPr>
        <w:t>local and regional transportation and housing studies, plans, and other relevant documents</w:t>
      </w:r>
      <w:r w:rsidR="00FF7674" w:rsidRPr="00D75C96">
        <w:rPr>
          <w:rFonts w:ascii="Calibri" w:eastAsia="Georgia" w:hAnsi="Calibri" w:cs="Calibri"/>
          <w:sz w:val="22"/>
          <w:szCs w:val="22"/>
        </w:rPr>
        <w:t xml:space="preserve">; we will work with community partners and use online research to identify key studies, plans, and other relevant secondary data for each community. </w:t>
      </w:r>
      <w:r w:rsidRPr="00D75C96">
        <w:rPr>
          <w:rFonts w:ascii="Calibri" w:eastAsia="Georgia" w:hAnsi="Calibri" w:cs="Calibri"/>
          <w:sz w:val="22"/>
          <w:szCs w:val="22"/>
        </w:rPr>
        <w:t>We will then conduct semi-structured in-depth interviews with approximately 7-10 key informants</w:t>
      </w:r>
      <w:r w:rsidR="000B7C16" w:rsidRPr="00D75C96">
        <w:rPr>
          <w:rFonts w:ascii="Calibri" w:eastAsia="Georgia" w:hAnsi="Calibri" w:cs="Calibri"/>
          <w:sz w:val="22"/>
          <w:szCs w:val="22"/>
        </w:rPr>
        <w:t xml:space="preserve"> for each case study community</w:t>
      </w:r>
      <w:r w:rsidRPr="00D75C96">
        <w:rPr>
          <w:rFonts w:ascii="Calibri" w:eastAsia="Georgia" w:hAnsi="Calibri" w:cs="Calibri"/>
          <w:sz w:val="22"/>
          <w:szCs w:val="22"/>
        </w:rPr>
        <w:t xml:space="preserve">, such as local and regional planners and transportation </w:t>
      </w:r>
      <w:r w:rsidR="0034364E" w:rsidRPr="00D75C96">
        <w:rPr>
          <w:rFonts w:ascii="Calibri" w:eastAsia="Georgia" w:hAnsi="Calibri" w:cs="Calibri"/>
          <w:sz w:val="22"/>
          <w:szCs w:val="22"/>
        </w:rPr>
        <w:t xml:space="preserve">and housing </w:t>
      </w:r>
      <w:r w:rsidRPr="00D75C96">
        <w:rPr>
          <w:rFonts w:ascii="Calibri" w:eastAsia="Georgia" w:hAnsi="Calibri" w:cs="Calibri"/>
          <w:sz w:val="22"/>
          <w:szCs w:val="22"/>
        </w:rPr>
        <w:t>professionals. Interviews and secondary data analysis will be used to explore how these communities and the regions around them are experiencing, trying to understand, and working to address transportation, housing, and land use issues; how their interventions appear to be playing out; what challenges they have encountered in addressing these issues; what information, resources, and planning support have</w:t>
      </w:r>
      <w:r w:rsidR="008A13F1" w:rsidRPr="00D75C96">
        <w:rPr>
          <w:rFonts w:ascii="Calibri" w:eastAsia="Georgia" w:hAnsi="Calibri" w:cs="Calibri"/>
          <w:sz w:val="22"/>
          <w:szCs w:val="22"/>
        </w:rPr>
        <w:t xml:space="preserve"> been</w:t>
      </w:r>
      <w:r w:rsidRPr="00D75C96">
        <w:rPr>
          <w:rFonts w:ascii="Calibri" w:eastAsia="Georgia" w:hAnsi="Calibri" w:cs="Calibri"/>
          <w:sz w:val="22"/>
          <w:szCs w:val="22"/>
        </w:rPr>
        <w:t xml:space="preserve"> or would be helpful for their effort</w:t>
      </w:r>
      <w:r w:rsidR="00B83FE0" w:rsidRPr="00D75C96">
        <w:rPr>
          <w:rFonts w:ascii="Calibri" w:eastAsia="Georgia" w:hAnsi="Calibri" w:cs="Calibri"/>
          <w:sz w:val="22"/>
          <w:szCs w:val="22"/>
        </w:rPr>
        <w:t>s</w:t>
      </w:r>
      <w:r w:rsidRPr="00D75C96">
        <w:rPr>
          <w:rFonts w:ascii="Calibri" w:eastAsia="Georgia" w:hAnsi="Calibri" w:cs="Calibri"/>
          <w:sz w:val="22"/>
          <w:szCs w:val="22"/>
        </w:rPr>
        <w:t>; and what recommendations and lessons learned can be derived from their experience</w:t>
      </w:r>
      <w:r w:rsidR="00FE373E" w:rsidRPr="00D75C96">
        <w:rPr>
          <w:rFonts w:ascii="Calibri" w:eastAsia="Georgia" w:hAnsi="Calibri" w:cs="Calibri"/>
          <w:sz w:val="22"/>
          <w:szCs w:val="22"/>
        </w:rPr>
        <w:t>s</w:t>
      </w:r>
      <w:r w:rsidRPr="00D75C96">
        <w:rPr>
          <w:rFonts w:ascii="Calibri" w:eastAsia="Georgia" w:hAnsi="Calibri" w:cs="Calibri"/>
          <w:sz w:val="22"/>
          <w:szCs w:val="22"/>
        </w:rPr>
        <w:t>.</w:t>
      </w:r>
      <w:r w:rsidR="00FF7674" w:rsidRPr="00D75C96">
        <w:rPr>
          <w:rFonts w:ascii="Calibri" w:eastAsia="Georgia" w:hAnsi="Calibri" w:cs="Calibri"/>
          <w:sz w:val="22"/>
          <w:szCs w:val="22"/>
        </w:rPr>
        <w:t xml:space="preserve"> We will work with our community partners in each case study site to identify appropriate interviewees who can provide diverse perspectives on regional housing, transportation, and land use issues</w:t>
      </w:r>
      <w:r w:rsidR="000B7C16" w:rsidRPr="00D75C96">
        <w:rPr>
          <w:rFonts w:ascii="Calibri" w:eastAsia="Georgia" w:hAnsi="Calibri" w:cs="Calibri"/>
          <w:sz w:val="22"/>
          <w:szCs w:val="22"/>
        </w:rPr>
        <w:t>. We will</w:t>
      </w:r>
      <w:r w:rsidR="00FF7674" w:rsidRPr="00D75C96">
        <w:rPr>
          <w:rFonts w:ascii="Calibri" w:eastAsia="Georgia" w:hAnsi="Calibri" w:cs="Calibri"/>
          <w:sz w:val="22"/>
          <w:szCs w:val="22"/>
        </w:rPr>
        <w:t xml:space="preserve"> then identify additional interviewees via </w:t>
      </w:r>
      <w:r w:rsidR="000B7C16" w:rsidRPr="00D75C96">
        <w:rPr>
          <w:rFonts w:ascii="Calibri" w:eastAsia="Georgia" w:hAnsi="Calibri" w:cs="Calibri"/>
          <w:sz w:val="22"/>
          <w:szCs w:val="22"/>
        </w:rPr>
        <w:t xml:space="preserve">the </w:t>
      </w:r>
      <w:r w:rsidR="00FF7674" w:rsidRPr="00D75C96">
        <w:rPr>
          <w:rFonts w:ascii="Calibri" w:eastAsia="Georgia" w:hAnsi="Calibri" w:cs="Calibri"/>
          <w:sz w:val="22"/>
          <w:szCs w:val="22"/>
        </w:rPr>
        <w:t xml:space="preserve">snowballing method. Primary and secondary case study data will be coded and analyzed using </w:t>
      </w:r>
      <w:proofErr w:type="spellStart"/>
      <w:r w:rsidR="00FF7674" w:rsidRPr="00D75C96">
        <w:rPr>
          <w:rFonts w:ascii="Calibri" w:eastAsia="Georgia" w:hAnsi="Calibri" w:cs="Calibri"/>
          <w:sz w:val="22"/>
          <w:szCs w:val="22"/>
        </w:rPr>
        <w:t>A</w:t>
      </w:r>
      <w:r w:rsidR="00F7414E" w:rsidRPr="00D75C96">
        <w:rPr>
          <w:rFonts w:ascii="Calibri" w:eastAsia="Georgia" w:hAnsi="Calibri" w:cs="Calibri"/>
          <w:sz w:val="22"/>
          <w:szCs w:val="22"/>
        </w:rPr>
        <w:t>TLAS</w:t>
      </w:r>
      <w:r w:rsidR="00FF7674" w:rsidRPr="00D75C96">
        <w:rPr>
          <w:rFonts w:ascii="Calibri" w:eastAsia="Georgia" w:hAnsi="Calibri" w:cs="Calibri"/>
          <w:sz w:val="22"/>
          <w:szCs w:val="22"/>
        </w:rPr>
        <w:t>.ti</w:t>
      </w:r>
      <w:proofErr w:type="spellEnd"/>
      <w:r w:rsidR="00FF7674" w:rsidRPr="00D75C96">
        <w:rPr>
          <w:rFonts w:ascii="Calibri" w:eastAsia="Georgia" w:hAnsi="Calibri" w:cs="Calibri"/>
          <w:sz w:val="22"/>
          <w:szCs w:val="22"/>
        </w:rPr>
        <w:t xml:space="preserve"> software. The results from each site will be written up as a stand</w:t>
      </w:r>
      <w:r w:rsidR="004373F8" w:rsidRPr="00D75C96">
        <w:rPr>
          <w:rFonts w:ascii="Calibri" w:eastAsia="Georgia" w:hAnsi="Calibri" w:cs="Calibri"/>
          <w:sz w:val="22"/>
          <w:szCs w:val="22"/>
        </w:rPr>
        <w:t>-</w:t>
      </w:r>
      <w:r w:rsidR="00FF7674" w:rsidRPr="00D75C96">
        <w:rPr>
          <w:rFonts w:ascii="Calibri" w:eastAsia="Georgia" w:hAnsi="Calibri" w:cs="Calibri"/>
          <w:sz w:val="22"/>
          <w:szCs w:val="22"/>
        </w:rPr>
        <w:t xml:space="preserve">alone </w:t>
      </w:r>
      <w:r w:rsidR="004373F8" w:rsidRPr="00D75C96">
        <w:rPr>
          <w:rFonts w:ascii="Calibri" w:eastAsia="Georgia" w:hAnsi="Calibri" w:cs="Calibri"/>
          <w:sz w:val="22"/>
          <w:szCs w:val="22"/>
        </w:rPr>
        <w:t>case study</w:t>
      </w:r>
      <w:r w:rsidR="00FF7674" w:rsidRPr="00D75C96">
        <w:rPr>
          <w:rFonts w:ascii="Calibri" w:eastAsia="Georgia" w:hAnsi="Calibri" w:cs="Calibri"/>
          <w:sz w:val="22"/>
          <w:szCs w:val="22"/>
        </w:rPr>
        <w:t xml:space="preserve"> that shares </w:t>
      </w:r>
      <w:r w:rsidR="004373F8" w:rsidRPr="00D75C96">
        <w:rPr>
          <w:rFonts w:ascii="Calibri" w:eastAsia="Georgia" w:hAnsi="Calibri" w:cs="Calibri"/>
          <w:sz w:val="22"/>
          <w:szCs w:val="22"/>
        </w:rPr>
        <w:t xml:space="preserve">the story of the community and highlights </w:t>
      </w:r>
      <w:r w:rsidR="00FF7674" w:rsidRPr="00D75C96">
        <w:rPr>
          <w:rFonts w:ascii="Calibri" w:eastAsia="Georgia" w:hAnsi="Calibri" w:cs="Calibri"/>
          <w:sz w:val="22"/>
          <w:szCs w:val="22"/>
        </w:rPr>
        <w:t xml:space="preserve">generalizable findings from </w:t>
      </w:r>
      <w:r w:rsidR="004373F8" w:rsidRPr="00D75C96">
        <w:rPr>
          <w:rFonts w:ascii="Calibri" w:eastAsia="Georgia" w:hAnsi="Calibri" w:cs="Calibri"/>
          <w:sz w:val="22"/>
          <w:szCs w:val="22"/>
        </w:rPr>
        <w:t>the community’s experience and efforts. For each case study community, we will also produce local</w:t>
      </w:r>
      <w:r w:rsidR="002E5843" w:rsidRPr="00D75C96">
        <w:rPr>
          <w:rFonts w:ascii="Calibri" w:eastAsia="Georgia" w:hAnsi="Calibri" w:cs="Calibri"/>
          <w:sz w:val="22"/>
          <w:szCs w:val="22"/>
        </w:rPr>
        <w:t xml:space="preserve">ly </w:t>
      </w:r>
      <w:r w:rsidR="004373F8" w:rsidRPr="00D75C96">
        <w:rPr>
          <w:rFonts w:ascii="Calibri" w:eastAsia="Georgia" w:hAnsi="Calibri" w:cs="Calibri"/>
          <w:sz w:val="22"/>
          <w:szCs w:val="22"/>
        </w:rPr>
        <w:t xml:space="preserve">specific recommendations </w:t>
      </w:r>
      <w:r w:rsidR="00302508" w:rsidRPr="00D75C96">
        <w:rPr>
          <w:rFonts w:ascii="Calibri" w:eastAsia="Georgia" w:hAnsi="Calibri" w:cs="Calibri"/>
          <w:sz w:val="22"/>
          <w:szCs w:val="22"/>
        </w:rPr>
        <w:t>based on our analysis</w:t>
      </w:r>
      <w:r w:rsidR="006B3DE1" w:rsidRPr="00D75C96">
        <w:rPr>
          <w:rFonts w:ascii="Calibri" w:eastAsia="Georgia" w:hAnsi="Calibri" w:cs="Calibri"/>
          <w:sz w:val="22"/>
          <w:szCs w:val="22"/>
        </w:rPr>
        <w:t>, which will be presented to community partners and other key stakeholders</w:t>
      </w:r>
      <w:r w:rsidR="00302508" w:rsidRPr="00D75C96">
        <w:rPr>
          <w:rFonts w:ascii="Calibri" w:eastAsia="Georgia" w:hAnsi="Calibri" w:cs="Calibri"/>
          <w:sz w:val="22"/>
          <w:szCs w:val="22"/>
        </w:rPr>
        <w:t>.</w:t>
      </w:r>
    </w:p>
    <w:p w14:paraId="2C66E035" w14:textId="00C309BC" w:rsidR="00FF7674" w:rsidRPr="00D75C96" w:rsidRDefault="00783D94" w:rsidP="008C2CEE">
      <w:pPr>
        <w:pStyle w:val="BodyText"/>
        <w:spacing w:before="120"/>
        <w:ind w:right="691"/>
        <w:rPr>
          <w:rFonts w:ascii="Calibri" w:eastAsia="Georgia" w:hAnsi="Calibri" w:cs="Calibri"/>
          <w:sz w:val="22"/>
          <w:szCs w:val="22"/>
        </w:rPr>
      </w:pPr>
      <w:r w:rsidRPr="00D75C96">
        <w:rPr>
          <w:rFonts w:ascii="Calibri" w:eastAsia="Georgia" w:hAnsi="Calibri" w:cs="Calibri"/>
          <w:b/>
          <w:bCs/>
          <w:sz w:val="22"/>
          <w:szCs w:val="22"/>
        </w:rPr>
        <w:t>Commuter-shed mapping:</w:t>
      </w:r>
      <w:r w:rsidRPr="00D75C96">
        <w:rPr>
          <w:rFonts w:ascii="Calibri" w:eastAsia="Georgia" w:hAnsi="Calibri" w:cs="Calibri"/>
          <w:sz w:val="22"/>
          <w:szCs w:val="22"/>
        </w:rPr>
        <w:t xml:space="preserve"> </w:t>
      </w:r>
      <w:r w:rsidR="00FF2A11" w:rsidRPr="00D75C96">
        <w:rPr>
          <w:rFonts w:ascii="Calibri" w:eastAsia="Georgia" w:hAnsi="Calibri" w:cs="Calibri"/>
          <w:sz w:val="22"/>
          <w:szCs w:val="22"/>
        </w:rPr>
        <w:t>We</w:t>
      </w:r>
      <w:r w:rsidRPr="00D75C96">
        <w:rPr>
          <w:rFonts w:ascii="Calibri" w:eastAsia="Georgia" w:hAnsi="Calibri" w:cs="Calibri"/>
          <w:sz w:val="22"/>
          <w:szCs w:val="22"/>
        </w:rPr>
        <w:t xml:space="preserve"> will map the commuter-shed for each of our case study communities using U.S. Census LODES data (</w:t>
      </w:r>
      <w:hyperlink r:id="rId10">
        <w:r w:rsidRPr="00D75C96">
          <w:rPr>
            <w:rFonts w:ascii="Calibri" w:eastAsia="Georgia" w:hAnsi="Calibri" w:cs="Calibri"/>
            <w:sz w:val="22"/>
            <w:szCs w:val="22"/>
          </w:rPr>
          <w:t>https://lehd.ces.census.gov/data/</w:t>
        </w:r>
      </w:hyperlink>
      <w:r w:rsidRPr="00D75C96">
        <w:rPr>
          <w:rFonts w:ascii="Calibri" w:eastAsia="Georgia" w:hAnsi="Calibri" w:cs="Calibri"/>
          <w:sz w:val="22"/>
          <w:szCs w:val="22"/>
        </w:rPr>
        <w:t xml:space="preserve">); see Figure 1 </w:t>
      </w:r>
      <w:r w:rsidR="005A288D" w:rsidRPr="00D75C96">
        <w:rPr>
          <w:rFonts w:ascii="Calibri" w:eastAsia="Georgia" w:hAnsi="Calibri" w:cs="Calibri"/>
          <w:sz w:val="22"/>
          <w:szCs w:val="22"/>
        </w:rPr>
        <w:t xml:space="preserve">below </w:t>
      </w:r>
      <w:r w:rsidRPr="00D75C96">
        <w:rPr>
          <w:rFonts w:ascii="Calibri" w:eastAsia="Georgia" w:hAnsi="Calibri" w:cs="Calibri"/>
          <w:sz w:val="22"/>
          <w:szCs w:val="22"/>
        </w:rPr>
        <w:t xml:space="preserve">for an example. Preliminary LODES data analysis shows remarkable commuting trends for many gateway communities, with some of these small, rural communities having more than 70% of their workforce commuting into the community for work. </w:t>
      </w:r>
      <w:r w:rsidR="00FF7674" w:rsidRPr="00D75C96">
        <w:rPr>
          <w:rFonts w:ascii="Calibri" w:eastAsia="Georgia" w:hAnsi="Calibri" w:cs="Calibri"/>
          <w:sz w:val="22"/>
          <w:szCs w:val="22"/>
        </w:rPr>
        <w:t xml:space="preserve">During </w:t>
      </w:r>
      <w:r w:rsidRPr="00D75C96">
        <w:rPr>
          <w:rFonts w:ascii="Calibri" w:eastAsia="Georgia" w:hAnsi="Calibri" w:cs="Calibri"/>
          <w:sz w:val="22"/>
          <w:szCs w:val="22"/>
        </w:rPr>
        <w:t>case study interviews, we will explore the extent to which key informants</w:t>
      </w:r>
      <w:r w:rsidR="00FF7674" w:rsidRPr="00D75C96">
        <w:rPr>
          <w:rFonts w:ascii="Calibri" w:eastAsia="Georgia" w:hAnsi="Calibri" w:cs="Calibri"/>
          <w:sz w:val="22"/>
          <w:szCs w:val="22"/>
        </w:rPr>
        <w:t xml:space="preserve"> in each community</w:t>
      </w:r>
      <w:r w:rsidRPr="00D75C96">
        <w:rPr>
          <w:rFonts w:ascii="Calibri" w:eastAsia="Georgia" w:hAnsi="Calibri" w:cs="Calibri"/>
          <w:sz w:val="22"/>
          <w:szCs w:val="22"/>
        </w:rPr>
        <w:t xml:space="preserve"> understand the community’s commuter-shed, whether the LODES mapping </w:t>
      </w:r>
      <w:r w:rsidR="00FF7674" w:rsidRPr="00D75C96">
        <w:rPr>
          <w:rFonts w:ascii="Calibri" w:eastAsia="Georgia" w:hAnsi="Calibri" w:cs="Calibri"/>
          <w:sz w:val="22"/>
          <w:szCs w:val="22"/>
        </w:rPr>
        <w:t xml:space="preserve">aligns </w:t>
      </w:r>
      <w:r w:rsidRPr="00D75C96">
        <w:rPr>
          <w:rFonts w:ascii="Calibri" w:eastAsia="Georgia" w:hAnsi="Calibri" w:cs="Calibri"/>
          <w:sz w:val="22"/>
          <w:szCs w:val="22"/>
        </w:rPr>
        <w:t>with that understanding, and the extent to which LODES commuter-shed mapping is helpful for these communities and their planning</w:t>
      </w:r>
      <w:r w:rsidR="006B3DE1" w:rsidRPr="00D75C96">
        <w:rPr>
          <w:rFonts w:ascii="Calibri" w:eastAsia="Georgia" w:hAnsi="Calibri" w:cs="Calibri"/>
          <w:sz w:val="22"/>
          <w:szCs w:val="22"/>
        </w:rPr>
        <w:t>. T</w:t>
      </w:r>
      <w:r w:rsidRPr="00D75C96">
        <w:rPr>
          <w:rFonts w:ascii="Calibri" w:eastAsia="Georgia" w:hAnsi="Calibri" w:cs="Calibri"/>
          <w:sz w:val="22"/>
          <w:szCs w:val="22"/>
        </w:rPr>
        <w:t>h</w:t>
      </w:r>
      <w:r w:rsidR="006B3DE1" w:rsidRPr="00D75C96">
        <w:rPr>
          <w:rFonts w:ascii="Calibri" w:eastAsia="Georgia" w:hAnsi="Calibri" w:cs="Calibri"/>
          <w:sz w:val="22"/>
          <w:szCs w:val="22"/>
        </w:rPr>
        <w:t>ese conversations</w:t>
      </w:r>
      <w:r w:rsidRPr="00D75C96">
        <w:rPr>
          <w:rFonts w:ascii="Calibri" w:eastAsia="Georgia" w:hAnsi="Calibri" w:cs="Calibri"/>
          <w:sz w:val="22"/>
          <w:szCs w:val="22"/>
        </w:rPr>
        <w:t xml:space="preserve"> will help us vet the use of LODES data for commuter-shed mapping in gateway communities</w:t>
      </w:r>
      <w:r w:rsidR="006B3DE1" w:rsidRPr="00D75C96">
        <w:rPr>
          <w:rFonts w:ascii="Calibri" w:eastAsia="Georgia" w:hAnsi="Calibri" w:cs="Calibri"/>
          <w:sz w:val="22"/>
          <w:szCs w:val="22"/>
        </w:rPr>
        <w:t xml:space="preserve"> and explore how well these communities understand their commuter-sheds</w:t>
      </w:r>
      <w:r w:rsidRPr="00D75C96">
        <w:rPr>
          <w:rFonts w:ascii="Calibri" w:eastAsia="Georgia" w:hAnsi="Calibri" w:cs="Calibri"/>
          <w:sz w:val="22"/>
          <w:szCs w:val="22"/>
        </w:rPr>
        <w:t>.</w:t>
      </w:r>
      <w:r w:rsidR="00FF7674" w:rsidRPr="00D75C96">
        <w:rPr>
          <w:rFonts w:ascii="Calibri" w:eastAsia="Georgia" w:hAnsi="Calibri" w:cs="Calibri"/>
          <w:sz w:val="22"/>
          <w:szCs w:val="22"/>
        </w:rPr>
        <w:t xml:space="preserve"> </w:t>
      </w:r>
      <w:r w:rsidR="00BC25A7" w:rsidRPr="00D75C96">
        <w:rPr>
          <w:rFonts w:ascii="Calibri" w:eastAsia="Georgia" w:hAnsi="Calibri" w:cs="Calibri"/>
          <w:sz w:val="22"/>
          <w:szCs w:val="22"/>
        </w:rPr>
        <w:t xml:space="preserve">We </w:t>
      </w:r>
      <w:r w:rsidR="00FF7674" w:rsidRPr="00D75C96">
        <w:rPr>
          <w:rFonts w:ascii="Calibri" w:eastAsia="Georgia" w:hAnsi="Calibri" w:cs="Calibri"/>
          <w:sz w:val="22"/>
          <w:szCs w:val="22"/>
        </w:rPr>
        <w:t xml:space="preserve">will use what we learn to develop </w:t>
      </w:r>
      <w:r w:rsidR="00BC25A7" w:rsidRPr="00D75C96">
        <w:rPr>
          <w:rFonts w:ascii="Calibri" w:eastAsia="Georgia" w:hAnsi="Calibri" w:cs="Calibri"/>
          <w:sz w:val="22"/>
          <w:szCs w:val="22"/>
        </w:rPr>
        <w:t>tools to help</w:t>
      </w:r>
      <w:r w:rsidR="00FF7674" w:rsidRPr="00D75C96">
        <w:rPr>
          <w:rFonts w:ascii="Calibri" w:eastAsia="Georgia" w:hAnsi="Calibri" w:cs="Calibri"/>
          <w:sz w:val="22"/>
          <w:szCs w:val="22"/>
        </w:rPr>
        <w:t xml:space="preserve"> other communities analyze and visualize their commuter data, which we will share via the GNAR Initiative toolkit</w:t>
      </w:r>
      <w:r w:rsidR="007E679B" w:rsidRPr="00D75C96">
        <w:rPr>
          <w:rFonts w:ascii="Calibri" w:eastAsia="Georgia" w:hAnsi="Calibri" w:cs="Calibri"/>
          <w:sz w:val="22"/>
          <w:szCs w:val="22"/>
        </w:rPr>
        <w:t xml:space="preserve"> (</w:t>
      </w:r>
      <w:hyperlink r:id="rId11" w:history="1">
        <w:r w:rsidR="007E679B" w:rsidRPr="00D75C96">
          <w:rPr>
            <w:rFonts w:ascii="Calibri" w:hAnsi="Calibri" w:cs="Calibri"/>
            <w:sz w:val="22"/>
            <w:szCs w:val="22"/>
          </w:rPr>
          <w:t>https://www.usu.edu/gnar/toolkit</w:t>
        </w:r>
      </w:hyperlink>
      <w:r w:rsidR="007E679B" w:rsidRPr="00D75C96">
        <w:rPr>
          <w:rFonts w:ascii="Calibri" w:eastAsia="Georgia" w:hAnsi="Calibri" w:cs="Calibri"/>
          <w:sz w:val="22"/>
          <w:szCs w:val="22"/>
        </w:rPr>
        <w:t>).</w:t>
      </w:r>
    </w:p>
    <w:p w14:paraId="69D16F6F" w14:textId="13DBE2EB" w:rsidR="008C2CEE" w:rsidRPr="00D75C96" w:rsidRDefault="005A288D" w:rsidP="008C2CEE">
      <w:pPr>
        <w:pStyle w:val="BodyText"/>
        <w:spacing w:before="120"/>
        <w:ind w:right="533"/>
        <w:rPr>
          <w:rFonts w:ascii="Calibri" w:eastAsia="Georgia" w:hAnsi="Calibri" w:cs="Calibri"/>
          <w:sz w:val="22"/>
          <w:szCs w:val="22"/>
        </w:rPr>
      </w:pPr>
      <w:r w:rsidRPr="00D75C96">
        <w:rPr>
          <w:rFonts w:ascii="Calibri" w:eastAsia="Georgia" w:hAnsi="Calibri" w:cs="Calibri"/>
          <w:b/>
          <w:bCs/>
          <w:sz w:val="22"/>
          <w:szCs w:val="22"/>
        </w:rPr>
        <w:t>Peer-to-peer gateway community</w:t>
      </w:r>
      <w:r w:rsidR="008C2CEE" w:rsidRPr="00D75C96">
        <w:rPr>
          <w:rFonts w:ascii="Calibri" w:eastAsia="Georgia" w:hAnsi="Calibri" w:cs="Calibri"/>
          <w:b/>
          <w:bCs/>
          <w:sz w:val="22"/>
          <w:szCs w:val="22"/>
        </w:rPr>
        <w:t xml:space="preserve"> workshops:</w:t>
      </w:r>
      <w:r w:rsidR="008C2CEE" w:rsidRPr="00D75C96">
        <w:rPr>
          <w:rFonts w:ascii="Calibri" w:eastAsia="Georgia" w:hAnsi="Calibri" w:cs="Calibri"/>
          <w:sz w:val="22"/>
          <w:szCs w:val="22"/>
        </w:rPr>
        <w:t xml:space="preserve"> </w:t>
      </w:r>
      <w:r w:rsidR="00FF7674" w:rsidRPr="00D75C96">
        <w:rPr>
          <w:rFonts w:ascii="Calibri" w:eastAsia="Georgia" w:hAnsi="Calibri" w:cs="Calibri"/>
          <w:sz w:val="22"/>
          <w:szCs w:val="22"/>
        </w:rPr>
        <w:t xml:space="preserve">We will work closely with our case study </w:t>
      </w:r>
      <w:r w:rsidR="004373F8" w:rsidRPr="00D75C96">
        <w:rPr>
          <w:rFonts w:ascii="Calibri" w:eastAsia="Georgia" w:hAnsi="Calibri" w:cs="Calibri"/>
          <w:sz w:val="22"/>
          <w:szCs w:val="22"/>
        </w:rPr>
        <w:t xml:space="preserve">communities and other partners </w:t>
      </w:r>
      <w:r w:rsidR="00FF7674" w:rsidRPr="00D75C96">
        <w:rPr>
          <w:rFonts w:ascii="Calibri" w:eastAsia="Georgia" w:hAnsi="Calibri" w:cs="Calibri"/>
          <w:sz w:val="22"/>
          <w:szCs w:val="22"/>
        </w:rPr>
        <w:t>throughout this project</w:t>
      </w:r>
      <w:r w:rsidR="004373F8" w:rsidRPr="00D75C96">
        <w:rPr>
          <w:rFonts w:ascii="Calibri" w:eastAsia="Georgia" w:hAnsi="Calibri" w:cs="Calibri"/>
          <w:sz w:val="22"/>
          <w:szCs w:val="22"/>
        </w:rPr>
        <w:t xml:space="preserve">. </w:t>
      </w:r>
      <w:r w:rsidR="00027BA4" w:rsidRPr="00D75C96">
        <w:rPr>
          <w:rFonts w:ascii="Calibri" w:eastAsia="Georgia" w:hAnsi="Calibri" w:cs="Calibri"/>
          <w:sz w:val="22"/>
          <w:szCs w:val="22"/>
        </w:rPr>
        <w:t>At the beginning of the project, w</w:t>
      </w:r>
      <w:r w:rsidR="004373F8" w:rsidRPr="00D75C96">
        <w:rPr>
          <w:rFonts w:ascii="Calibri" w:eastAsia="Georgia" w:hAnsi="Calibri" w:cs="Calibri"/>
          <w:sz w:val="22"/>
          <w:szCs w:val="22"/>
        </w:rPr>
        <w:t xml:space="preserve">e will host a </w:t>
      </w:r>
      <w:r w:rsidR="008C2CEE" w:rsidRPr="00D75C96">
        <w:rPr>
          <w:rFonts w:ascii="Calibri" w:eastAsia="Georgia" w:hAnsi="Calibri" w:cs="Calibri"/>
          <w:sz w:val="22"/>
          <w:szCs w:val="22"/>
        </w:rPr>
        <w:t>kick</w:t>
      </w:r>
      <w:r w:rsidR="006B3DE1" w:rsidRPr="00D75C96">
        <w:rPr>
          <w:rFonts w:ascii="Calibri" w:eastAsia="Georgia" w:hAnsi="Calibri" w:cs="Calibri"/>
          <w:sz w:val="22"/>
          <w:szCs w:val="22"/>
        </w:rPr>
        <w:t>-</w:t>
      </w:r>
      <w:r w:rsidR="008C2CEE" w:rsidRPr="00D75C96">
        <w:rPr>
          <w:rFonts w:ascii="Calibri" w:eastAsia="Georgia" w:hAnsi="Calibri" w:cs="Calibri"/>
          <w:sz w:val="22"/>
          <w:szCs w:val="22"/>
        </w:rPr>
        <w:t xml:space="preserve">off </w:t>
      </w:r>
      <w:r w:rsidR="004373F8" w:rsidRPr="00D75C96">
        <w:rPr>
          <w:rFonts w:ascii="Calibri" w:eastAsia="Georgia" w:hAnsi="Calibri" w:cs="Calibri"/>
          <w:sz w:val="22"/>
          <w:szCs w:val="22"/>
        </w:rPr>
        <w:t xml:space="preserve">workshop for case study communities and other </w:t>
      </w:r>
      <w:r w:rsidR="006B3DE1" w:rsidRPr="00D75C96">
        <w:rPr>
          <w:rFonts w:ascii="Calibri" w:eastAsia="Georgia" w:hAnsi="Calibri" w:cs="Calibri"/>
          <w:sz w:val="22"/>
          <w:szCs w:val="22"/>
        </w:rPr>
        <w:t xml:space="preserve">project </w:t>
      </w:r>
      <w:r w:rsidR="004373F8" w:rsidRPr="00D75C96">
        <w:rPr>
          <w:rFonts w:ascii="Calibri" w:eastAsia="Georgia" w:hAnsi="Calibri" w:cs="Calibri"/>
          <w:sz w:val="22"/>
          <w:szCs w:val="22"/>
        </w:rPr>
        <w:t>partners to</w:t>
      </w:r>
      <w:r w:rsidR="006B0185" w:rsidRPr="00D75C96">
        <w:rPr>
          <w:rFonts w:ascii="Calibri" w:eastAsia="Georgia" w:hAnsi="Calibri" w:cs="Calibri"/>
          <w:sz w:val="22"/>
          <w:szCs w:val="22"/>
        </w:rPr>
        <w:t xml:space="preserve"> provide them an opportunity to</w:t>
      </w:r>
      <w:r w:rsidR="004373F8" w:rsidRPr="00D75C96">
        <w:rPr>
          <w:rFonts w:ascii="Calibri" w:eastAsia="Georgia" w:hAnsi="Calibri" w:cs="Calibri"/>
          <w:sz w:val="22"/>
          <w:szCs w:val="22"/>
        </w:rPr>
        <w:t xml:space="preserve"> review </w:t>
      </w:r>
      <w:r w:rsidR="00027BA4" w:rsidRPr="00D75C96">
        <w:rPr>
          <w:rFonts w:ascii="Calibri" w:eastAsia="Georgia" w:hAnsi="Calibri" w:cs="Calibri"/>
          <w:sz w:val="22"/>
          <w:szCs w:val="22"/>
        </w:rPr>
        <w:t xml:space="preserve">the </w:t>
      </w:r>
      <w:r w:rsidR="004373F8" w:rsidRPr="00D75C96">
        <w:rPr>
          <w:rFonts w:ascii="Calibri" w:eastAsia="Georgia" w:hAnsi="Calibri" w:cs="Calibri"/>
          <w:sz w:val="22"/>
          <w:szCs w:val="22"/>
        </w:rPr>
        <w:t>p</w:t>
      </w:r>
      <w:r w:rsidR="00FF7674" w:rsidRPr="00D75C96">
        <w:rPr>
          <w:rFonts w:ascii="Calibri" w:eastAsia="Georgia" w:hAnsi="Calibri" w:cs="Calibri"/>
          <w:sz w:val="22"/>
          <w:szCs w:val="22"/>
        </w:rPr>
        <w:t xml:space="preserve">lans </w:t>
      </w:r>
      <w:r w:rsidR="008C2CEE" w:rsidRPr="00D75C96">
        <w:rPr>
          <w:rFonts w:ascii="Calibri" w:eastAsia="Georgia" w:hAnsi="Calibri" w:cs="Calibri"/>
          <w:sz w:val="22"/>
          <w:szCs w:val="22"/>
        </w:rPr>
        <w:t>for the study</w:t>
      </w:r>
      <w:r w:rsidR="006B0185" w:rsidRPr="00D75C96">
        <w:rPr>
          <w:rFonts w:ascii="Calibri" w:eastAsia="Georgia" w:hAnsi="Calibri" w:cs="Calibri"/>
          <w:sz w:val="22"/>
          <w:szCs w:val="22"/>
        </w:rPr>
        <w:t xml:space="preserve">, </w:t>
      </w:r>
      <w:r w:rsidR="00027BA4" w:rsidRPr="00D75C96">
        <w:rPr>
          <w:rFonts w:ascii="Calibri" w:eastAsia="Georgia" w:hAnsi="Calibri" w:cs="Calibri"/>
          <w:sz w:val="22"/>
          <w:szCs w:val="22"/>
        </w:rPr>
        <w:t xml:space="preserve">provide input and ask questions, and </w:t>
      </w:r>
      <w:r w:rsidR="008C2CEE" w:rsidRPr="00D75C96">
        <w:rPr>
          <w:rFonts w:ascii="Calibri" w:eastAsia="Georgia" w:hAnsi="Calibri" w:cs="Calibri"/>
          <w:sz w:val="22"/>
          <w:szCs w:val="22"/>
        </w:rPr>
        <w:t xml:space="preserve">connect with </w:t>
      </w:r>
      <w:r w:rsidRPr="00D75C96">
        <w:rPr>
          <w:rFonts w:ascii="Calibri" w:eastAsia="Georgia" w:hAnsi="Calibri" w:cs="Calibri"/>
          <w:sz w:val="22"/>
          <w:szCs w:val="22"/>
        </w:rPr>
        <w:t xml:space="preserve">and learn from </w:t>
      </w:r>
      <w:r w:rsidR="008C2CEE" w:rsidRPr="00D75C96">
        <w:rPr>
          <w:rFonts w:ascii="Calibri" w:eastAsia="Georgia" w:hAnsi="Calibri" w:cs="Calibri"/>
          <w:sz w:val="22"/>
          <w:szCs w:val="22"/>
        </w:rPr>
        <w:t>one another</w:t>
      </w:r>
      <w:r w:rsidR="004373F8" w:rsidRPr="00D75C96">
        <w:rPr>
          <w:rFonts w:ascii="Calibri" w:eastAsia="Georgia" w:hAnsi="Calibri" w:cs="Calibri"/>
          <w:sz w:val="22"/>
          <w:szCs w:val="22"/>
        </w:rPr>
        <w:t xml:space="preserve">. </w:t>
      </w:r>
      <w:r w:rsidR="008C2CEE" w:rsidRPr="00D75C96">
        <w:rPr>
          <w:rFonts w:ascii="Calibri" w:eastAsia="Georgia" w:hAnsi="Calibri" w:cs="Calibri"/>
          <w:sz w:val="22"/>
          <w:szCs w:val="22"/>
        </w:rPr>
        <w:t>We will host additional</w:t>
      </w:r>
      <w:r w:rsidR="00BC25A7" w:rsidRPr="00D75C96">
        <w:rPr>
          <w:rFonts w:ascii="Calibri" w:eastAsia="Georgia" w:hAnsi="Calibri" w:cs="Calibri"/>
          <w:sz w:val="22"/>
          <w:szCs w:val="22"/>
        </w:rPr>
        <w:t xml:space="preserve"> </w:t>
      </w:r>
      <w:r w:rsidR="008C2CEE" w:rsidRPr="00D75C96">
        <w:rPr>
          <w:rFonts w:ascii="Calibri" w:eastAsia="Georgia" w:hAnsi="Calibri" w:cs="Calibri"/>
          <w:sz w:val="22"/>
          <w:szCs w:val="22"/>
        </w:rPr>
        <w:t>workshop</w:t>
      </w:r>
      <w:r w:rsidR="006B0185" w:rsidRPr="00D75C96">
        <w:rPr>
          <w:rFonts w:ascii="Calibri" w:eastAsia="Georgia" w:hAnsi="Calibri" w:cs="Calibri"/>
          <w:sz w:val="22"/>
          <w:szCs w:val="22"/>
        </w:rPr>
        <w:t>s</w:t>
      </w:r>
      <w:r w:rsidR="008C2CEE" w:rsidRPr="00D75C96">
        <w:rPr>
          <w:rFonts w:ascii="Calibri" w:eastAsia="Georgia" w:hAnsi="Calibri" w:cs="Calibri"/>
          <w:sz w:val="22"/>
          <w:szCs w:val="22"/>
        </w:rPr>
        <w:t xml:space="preserve"> for our </w:t>
      </w:r>
      <w:r w:rsidRPr="00D75C96">
        <w:rPr>
          <w:rFonts w:ascii="Calibri" w:eastAsia="Georgia" w:hAnsi="Calibri" w:cs="Calibri"/>
          <w:sz w:val="22"/>
          <w:szCs w:val="22"/>
        </w:rPr>
        <w:t xml:space="preserve">community </w:t>
      </w:r>
      <w:r w:rsidR="008C2CEE" w:rsidRPr="00D75C96">
        <w:rPr>
          <w:rFonts w:ascii="Calibri" w:eastAsia="Georgia" w:hAnsi="Calibri" w:cs="Calibri"/>
          <w:sz w:val="22"/>
          <w:szCs w:val="22"/>
        </w:rPr>
        <w:t xml:space="preserve">partners </w:t>
      </w:r>
      <w:r w:rsidR="008C2CEE" w:rsidRPr="00D75C96">
        <w:rPr>
          <w:rFonts w:ascii="Calibri" w:eastAsia="Georgia" w:hAnsi="Calibri" w:cs="Calibri"/>
          <w:sz w:val="22"/>
          <w:szCs w:val="22"/>
        </w:rPr>
        <w:lastRenderedPageBreak/>
        <w:t>throughout the project</w:t>
      </w:r>
      <w:r w:rsidR="00027BA4" w:rsidRPr="00D75C96">
        <w:rPr>
          <w:rFonts w:ascii="Calibri" w:eastAsia="Georgia" w:hAnsi="Calibri" w:cs="Calibri"/>
          <w:sz w:val="22"/>
          <w:szCs w:val="22"/>
        </w:rPr>
        <w:t xml:space="preserve">, during which we will provide project updates, get partner feedback on plans and products, and </w:t>
      </w:r>
      <w:r w:rsidR="004373F8" w:rsidRPr="00D75C96">
        <w:rPr>
          <w:rFonts w:ascii="Calibri" w:eastAsia="Georgia" w:hAnsi="Calibri" w:cs="Calibri"/>
          <w:sz w:val="22"/>
          <w:szCs w:val="22"/>
        </w:rPr>
        <w:t xml:space="preserve">facilitate </w:t>
      </w:r>
      <w:r w:rsidR="007E679B" w:rsidRPr="00D75C96">
        <w:rPr>
          <w:rFonts w:ascii="Calibri" w:eastAsia="Georgia" w:hAnsi="Calibri" w:cs="Calibri"/>
          <w:sz w:val="22"/>
          <w:szCs w:val="22"/>
        </w:rPr>
        <w:t xml:space="preserve">peer-to-peer </w:t>
      </w:r>
      <w:r w:rsidR="004373F8" w:rsidRPr="00D75C96">
        <w:rPr>
          <w:rFonts w:ascii="Calibri" w:eastAsia="Georgia" w:hAnsi="Calibri" w:cs="Calibri"/>
          <w:sz w:val="22"/>
          <w:szCs w:val="22"/>
        </w:rPr>
        <w:t>dialogue about transportation, housing, and land use issues</w:t>
      </w:r>
      <w:r w:rsidR="006B3DE1" w:rsidRPr="00D75C96">
        <w:rPr>
          <w:rFonts w:ascii="Calibri" w:eastAsia="Georgia" w:hAnsi="Calibri" w:cs="Calibri"/>
          <w:sz w:val="22"/>
          <w:szCs w:val="22"/>
        </w:rPr>
        <w:t xml:space="preserve"> and strategies</w:t>
      </w:r>
      <w:r w:rsidR="004373F8" w:rsidRPr="00D75C96">
        <w:rPr>
          <w:rFonts w:ascii="Calibri" w:eastAsia="Georgia" w:hAnsi="Calibri" w:cs="Calibri"/>
          <w:sz w:val="22"/>
          <w:szCs w:val="22"/>
        </w:rPr>
        <w:t xml:space="preserve">. </w:t>
      </w:r>
      <w:r w:rsidRPr="00D75C96">
        <w:rPr>
          <w:rFonts w:ascii="Calibri" w:eastAsia="Georgia" w:hAnsi="Calibri" w:cs="Calibri"/>
          <w:sz w:val="22"/>
          <w:szCs w:val="22"/>
        </w:rPr>
        <w:t xml:space="preserve">We will also host peer-to-peer workshops </w:t>
      </w:r>
      <w:r w:rsidR="00027BA4" w:rsidRPr="00D75C96">
        <w:rPr>
          <w:rFonts w:ascii="Calibri" w:eastAsia="Georgia" w:hAnsi="Calibri" w:cs="Calibri"/>
          <w:sz w:val="22"/>
          <w:szCs w:val="22"/>
        </w:rPr>
        <w:t xml:space="preserve">and webinars </w:t>
      </w:r>
      <w:r w:rsidRPr="00D75C96">
        <w:rPr>
          <w:rFonts w:ascii="Calibri" w:eastAsia="Georgia" w:hAnsi="Calibri" w:cs="Calibri"/>
          <w:sz w:val="22"/>
          <w:szCs w:val="22"/>
        </w:rPr>
        <w:t xml:space="preserve">for a broader gateway community audience via the GNAR Initiative. </w:t>
      </w:r>
      <w:r w:rsidR="004373F8" w:rsidRPr="00D75C96">
        <w:rPr>
          <w:rFonts w:ascii="Calibri" w:eastAsia="Georgia" w:hAnsi="Calibri" w:cs="Calibri"/>
          <w:sz w:val="22"/>
          <w:szCs w:val="22"/>
        </w:rPr>
        <w:t xml:space="preserve">We will take detailed notes </w:t>
      </w:r>
      <w:r w:rsidR="00913B15" w:rsidRPr="00D75C96">
        <w:rPr>
          <w:rFonts w:ascii="Calibri" w:eastAsia="Georgia" w:hAnsi="Calibri" w:cs="Calibri"/>
          <w:sz w:val="22"/>
          <w:szCs w:val="22"/>
        </w:rPr>
        <w:t>during</w:t>
      </w:r>
      <w:r w:rsidR="004373F8" w:rsidRPr="00D75C96">
        <w:rPr>
          <w:rFonts w:ascii="Calibri" w:eastAsia="Georgia" w:hAnsi="Calibri" w:cs="Calibri"/>
          <w:sz w:val="22"/>
          <w:szCs w:val="22"/>
        </w:rPr>
        <w:t xml:space="preserve"> these workshops and use th</w:t>
      </w:r>
      <w:r w:rsidR="006B3DE1" w:rsidRPr="00D75C96">
        <w:rPr>
          <w:rFonts w:ascii="Calibri" w:eastAsia="Georgia" w:hAnsi="Calibri" w:cs="Calibri"/>
          <w:sz w:val="22"/>
          <w:szCs w:val="22"/>
        </w:rPr>
        <w:t>ese notes</w:t>
      </w:r>
      <w:r w:rsidR="004373F8" w:rsidRPr="00D75C96">
        <w:rPr>
          <w:rFonts w:ascii="Calibri" w:eastAsia="Georgia" w:hAnsi="Calibri" w:cs="Calibri"/>
          <w:sz w:val="22"/>
          <w:szCs w:val="22"/>
        </w:rPr>
        <w:t xml:space="preserve"> as additional data for our study.</w:t>
      </w:r>
    </w:p>
    <w:p w14:paraId="22ACF322" w14:textId="3578EE69" w:rsidR="008C2CEE" w:rsidRPr="00D75C96" w:rsidRDefault="008C2CEE" w:rsidP="008C2CEE">
      <w:pPr>
        <w:pStyle w:val="BodyText"/>
        <w:spacing w:before="120"/>
        <w:ind w:right="504"/>
        <w:rPr>
          <w:rFonts w:ascii="Calibri" w:eastAsia="Georgia" w:hAnsi="Calibri" w:cs="Calibri"/>
          <w:sz w:val="22"/>
          <w:szCs w:val="22"/>
        </w:rPr>
      </w:pPr>
      <w:r w:rsidRPr="00D75C96">
        <w:rPr>
          <w:rFonts w:ascii="Calibri" w:eastAsia="Georgia" w:hAnsi="Calibri" w:cs="Calibri"/>
          <w:b/>
          <w:bCs/>
          <w:sz w:val="22"/>
          <w:szCs w:val="22"/>
        </w:rPr>
        <w:t>Data synthesis, analysis, and dissemination:</w:t>
      </w:r>
      <w:r w:rsidRPr="00D75C96">
        <w:rPr>
          <w:rFonts w:ascii="Calibri" w:eastAsia="Georgia" w:hAnsi="Calibri" w:cs="Calibri"/>
          <w:sz w:val="22"/>
          <w:szCs w:val="22"/>
        </w:rPr>
        <w:t xml:space="preserve"> </w:t>
      </w:r>
      <w:r w:rsidR="00302508" w:rsidRPr="00D75C96">
        <w:rPr>
          <w:rFonts w:ascii="Calibri" w:eastAsia="Georgia" w:hAnsi="Calibri" w:cs="Calibri"/>
          <w:sz w:val="22"/>
          <w:szCs w:val="22"/>
        </w:rPr>
        <w:t>Upon completion of all case studies, we</w:t>
      </w:r>
      <w:r w:rsidRPr="00D75C96">
        <w:rPr>
          <w:rFonts w:ascii="Calibri" w:eastAsia="Georgia" w:hAnsi="Calibri" w:cs="Calibri"/>
          <w:sz w:val="22"/>
          <w:szCs w:val="22"/>
        </w:rPr>
        <w:t xml:space="preserve"> </w:t>
      </w:r>
      <w:r w:rsidR="00302508" w:rsidRPr="00D75C96">
        <w:rPr>
          <w:rFonts w:ascii="Calibri" w:eastAsia="Georgia" w:hAnsi="Calibri" w:cs="Calibri"/>
          <w:sz w:val="22"/>
          <w:szCs w:val="22"/>
        </w:rPr>
        <w:t>will</w:t>
      </w:r>
      <w:r w:rsidRPr="00D75C96">
        <w:rPr>
          <w:rFonts w:ascii="Calibri" w:eastAsia="Georgia" w:hAnsi="Calibri" w:cs="Calibri"/>
          <w:sz w:val="22"/>
          <w:szCs w:val="22"/>
        </w:rPr>
        <w:t xml:space="preserve"> </w:t>
      </w:r>
      <w:r w:rsidR="00302508" w:rsidRPr="00D75C96">
        <w:rPr>
          <w:rFonts w:ascii="Calibri" w:eastAsia="Georgia" w:hAnsi="Calibri" w:cs="Calibri"/>
          <w:sz w:val="22"/>
          <w:szCs w:val="22"/>
        </w:rPr>
        <w:t xml:space="preserve">analyze our findings across sites. We will then compare our cross-site </w:t>
      </w:r>
      <w:r w:rsidRPr="00D75C96">
        <w:rPr>
          <w:rFonts w:ascii="Calibri" w:eastAsia="Georgia" w:hAnsi="Calibri" w:cs="Calibri"/>
          <w:sz w:val="22"/>
          <w:szCs w:val="22"/>
        </w:rPr>
        <w:t>results with the findings of our regional survey and peer-to-peer workshops to generate results and policy and planning recommendations</w:t>
      </w:r>
      <w:r w:rsidR="00027BA4" w:rsidRPr="00D75C96">
        <w:rPr>
          <w:rFonts w:ascii="Calibri" w:eastAsia="Georgia" w:hAnsi="Calibri" w:cs="Calibri"/>
          <w:sz w:val="22"/>
          <w:szCs w:val="22"/>
        </w:rPr>
        <w:t>; we anticipate this study will produce local, regional, state, and federal recommendations</w:t>
      </w:r>
      <w:r w:rsidRPr="00D75C96">
        <w:rPr>
          <w:rFonts w:ascii="Calibri" w:eastAsia="Georgia" w:hAnsi="Calibri" w:cs="Calibri"/>
          <w:sz w:val="22"/>
          <w:szCs w:val="22"/>
        </w:rPr>
        <w:t>. We will share our results and recommendations via academic journal articles, popular media articles, presentations, and white papers/brief</w:t>
      </w:r>
      <w:r w:rsidR="00913B15" w:rsidRPr="00D75C96">
        <w:rPr>
          <w:rFonts w:ascii="Calibri" w:eastAsia="Georgia" w:hAnsi="Calibri" w:cs="Calibri"/>
          <w:sz w:val="22"/>
          <w:szCs w:val="22"/>
        </w:rPr>
        <w:t xml:space="preserve">s, </w:t>
      </w:r>
      <w:r w:rsidR="00027BA4" w:rsidRPr="00D75C96">
        <w:rPr>
          <w:rFonts w:ascii="Calibri" w:eastAsia="Georgia" w:hAnsi="Calibri" w:cs="Calibri"/>
          <w:sz w:val="22"/>
          <w:szCs w:val="22"/>
        </w:rPr>
        <w:t>with the intent of making</w:t>
      </w:r>
      <w:r w:rsidRPr="00D75C96">
        <w:rPr>
          <w:rFonts w:ascii="Calibri" w:eastAsia="Georgia" w:hAnsi="Calibri" w:cs="Calibri"/>
          <w:sz w:val="22"/>
          <w:szCs w:val="22"/>
        </w:rPr>
        <w:t xml:space="preserve"> this information readily available to </w:t>
      </w:r>
      <w:r w:rsidR="00913B15" w:rsidRPr="00D75C96">
        <w:rPr>
          <w:rFonts w:ascii="Calibri" w:eastAsia="Georgia" w:hAnsi="Calibri" w:cs="Calibri"/>
          <w:sz w:val="22"/>
          <w:szCs w:val="22"/>
        </w:rPr>
        <w:t xml:space="preserve">public officials in </w:t>
      </w:r>
      <w:r w:rsidRPr="00D75C96">
        <w:rPr>
          <w:rFonts w:ascii="Calibri" w:eastAsia="Georgia" w:hAnsi="Calibri" w:cs="Calibri"/>
          <w:sz w:val="22"/>
          <w:szCs w:val="22"/>
        </w:rPr>
        <w:t>gateway communities</w:t>
      </w:r>
      <w:r w:rsidR="00913B15" w:rsidRPr="00D75C96">
        <w:rPr>
          <w:rFonts w:ascii="Calibri" w:eastAsia="Georgia" w:hAnsi="Calibri" w:cs="Calibri"/>
          <w:sz w:val="22"/>
          <w:szCs w:val="22"/>
        </w:rPr>
        <w:t xml:space="preserve"> and </w:t>
      </w:r>
      <w:r w:rsidRPr="00D75C96">
        <w:rPr>
          <w:rFonts w:ascii="Calibri" w:eastAsia="Georgia" w:hAnsi="Calibri" w:cs="Calibri"/>
          <w:sz w:val="22"/>
          <w:szCs w:val="22"/>
        </w:rPr>
        <w:t xml:space="preserve">other urban and rural areas, policymakers, </w:t>
      </w:r>
      <w:r w:rsidR="006F7581" w:rsidRPr="00D75C96">
        <w:rPr>
          <w:rFonts w:ascii="Calibri" w:eastAsia="Georgia" w:hAnsi="Calibri" w:cs="Calibri"/>
          <w:sz w:val="22"/>
          <w:szCs w:val="22"/>
        </w:rPr>
        <w:t xml:space="preserve">transportation and </w:t>
      </w:r>
      <w:r w:rsidR="00913B15" w:rsidRPr="00D75C96">
        <w:rPr>
          <w:rFonts w:ascii="Calibri" w:eastAsia="Georgia" w:hAnsi="Calibri" w:cs="Calibri"/>
          <w:sz w:val="22"/>
          <w:szCs w:val="22"/>
        </w:rPr>
        <w:t>housing</w:t>
      </w:r>
      <w:r w:rsidR="006F7581" w:rsidRPr="00D75C96">
        <w:rPr>
          <w:rFonts w:ascii="Calibri" w:eastAsia="Georgia" w:hAnsi="Calibri" w:cs="Calibri"/>
          <w:sz w:val="22"/>
          <w:szCs w:val="22"/>
        </w:rPr>
        <w:t xml:space="preserve"> professionals, </w:t>
      </w:r>
      <w:r w:rsidR="00027BA4" w:rsidRPr="00D75C96">
        <w:rPr>
          <w:rFonts w:ascii="Calibri" w:eastAsia="Georgia" w:hAnsi="Calibri" w:cs="Calibri"/>
          <w:sz w:val="22"/>
          <w:szCs w:val="22"/>
        </w:rPr>
        <w:t xml:space="preserve">NGOs, and academics. </w:t>
      </w:r>
      <w:r w:rsidRPr="00D75C96">
        <w:rPr>
          <w:rFonts w:ascii="Calibri" w:eastAsia="Georgia" w:hAnsi="Calibri" w:cs="Calibri"/>
          <w:sz w:val="22"/>
          <w:szCs w:val="22"/>
        </w:rPr>
        <w:t>We will also host free interactive webinars via the GNAR Initiative</w:t>
      </w:r>
      <w:r w:rsidR="006F7581" w:rsidRPr="00D75C96">
        <w:rPr>
          <w:rFonts w:ascii="Calibri" w:eastAsia="Georgia" w:hAnsi="Calibri" w:cs="Calibri"/>
          <w:sz w:val="22"/>
          <w:szCs w:val="22"/>
        </w:rPr>
        <w:t xml:space="preserve"> </w:t>
      </w:r>
      <w:r w:rsidRPr="00D75C96">
        <w:rPr>
          <w:rFonts w:ascii="Calibri" w:eastAsia="Georgia" w:hAnsi="Calibri" w:cs="Calibri"/>
          <w:sz w:val="22"/>
          <w:szCs w:val="22"/>
        </w:rPr>
        <w:t>to share our results</w:t>
      </w:r>
      <w:r w:rsidR="00913B15" w:rsidRPr="00D75C96">
        <w:rPr>
          <w:rFonts w:ascii="Calibri" w:eastAsia="Georgia" w:hAnsi="Calibri" w:cs="Calibri"/>
          <w:sz w:val="22"/>
          <w:szCs w:val="22"/>
        </w:rPr>
        <w:t xml:space="preserve"> and tools</w:t>
      </w:r>
      <w:r w:rsidRPr="00D75C96">
        <w:rPr>
          <w:rFonts w:ascii="Calibri" w:eastAsia="Georgia" w:hAnsi="Calibri" w:cs="Calibri"/>
          <w:sz w:val="22"/>
          <w:szCs w:val="22"/>
        </w:rPr>
        <w:t xml:space="preserve"> with a broad audience; these webinars will be recorded and will be posted on the GNAR Initiative website</w:t>
      </w:r>
      <w:r w:rsidR="00027BA4" w:rsidRPr="00D75C96">
        <w:rPr>
          <w:rFonts w:ascii="Calibri" w:eastAsia="Georgia" w:hAnsi="Calibri" w:cs="Calibri"/>
          <w:sz w:val="22"/>
          <w:szCs w:val="22"/>
        </w:rPr>
        <w:t xml:space="preserve"> (https://www.usu.edu/gnar/)</w:t>
      </w:r>
      <w:r w:rsidRPr="00D75C96">
        <w:rPr>
          <w:rFonts w:ascii="Calibri" w:eastAsia="Georgia" w:hAnsi="Calibri" w:cs="Calibri"/>
          <w:sz w:val="22"/>
          <w:szCs w:val="22"/>
        </w:rPr>
        <w:t>.</w:t>
      </w:r>
      <w:r w:rsidR="00302508" w:rsidRPr="00D75C96">
        <w:rPr>
          <w:rFonts w:ascii="Calibri" w:eastAsia="Georgia" w:hAnsi="Calibri" w:cs="Calibri"/>
          <w:sz w:val="22"/>
          <w:szCs w:val="22"/>
        </w:rPr>
        <w:t xml:space="preserve"> All case studies and other products will </w:t>
      </w:r>
      <w:r w:rsidR="00C421C1" w:rsidRPr="00D75C96">
        <w:rPr>
          <w:rFonts w:ascii="Calibri" w:eastAsia="Georgia" w:hAnsi="Calibri" w:cs="Calibri"/>
          <w:sz w:val="22"/>
          <w:szCs w:val="22"/>
        </w:rPr>
        <w:t xml:space="preserve">also </w:t>
      </w:r>
      <w:r w:rsidR="00302508" w:rsidRPr="00D75C96">
        <w:rPr>
          <w:rFonts w:ascii="Calibri" w:eastAsia="Georgia" w:hAnsi="Calibri" w:cs="Calibri"/>
          <w:sz w:val="22"/>
          <w:szCs w:val="22"/>
        </w:rPr>
        <w:t>be shared via the GNAR Initiative’s website.</w:t>
      </w:r>
    </w:p>
    <w:p w14:paraId="70AC216E" w14:textId="77777777" w:rsidR="008C2CEE" w:rsidRPr="00D75C96" w:rsidRDefault="008C2CEE" w:rsidP="008C2CEE">
      <w:pPr>
        <w:ind w:left="0" w:hanging="2"/>
        <w:rPr>
          <w:sz w:val="22"/>
          <w:szCs w:val="22"/>
        </w:rPr>
      </w:pPr>
    </w:p>
    <w:p w14:paraId="1ABA5785" w14:textId="77777777" w:rsidR="00D75C96" w:rsidRDefault="00D75C96">
      <w:pPr>
        <w:suppressAutoHyphens w:val="0"/>
        <w:ind w:leftChars="0" w:left="0" w:firstLineChars="0" w:firstLine="0"/>
        <w:textDirection w:val="lrTb"/>
        <w:textAlignment w:val="auto"/>
        <w:outlineLvl w:val="9"/>
        <w:rPr>
          <w:rFonts w:ascii="Tw Cen MT Condensed Extra Bold" w:eastAsia="Times New Roman" w:hAnsi="Tw Cen MT Condensed Extra Bold" w:cs="Times New Roman"/>
          <w:color w:val="262626"/>
          <w:sz w:val="32"/>
          <w:szCs w:val="32"/>
        </w:rPr>
      </w:pPr>
      <w:r>
        <w:br w:type="page"/>
      </w:r>
    </w:p>
    <w:p w14:paraId="1991CAF4" w14:textId="744BCB12" w:rsidR="008020AB" w:rsidRDefault="005F6EC4" w:rsidP="004076AD">
      <w:pPr>
        <w:pStyle w:val="Heading1"/>
        <w:spacing w:before="0"/>
        <w:ind w:leftChars="0" w:left="3" w:firstLineChars="0" w:firstLine="0"/>
      </w:pPr>
      <w:r>
        <w:lastRenderedPageBreak/>
        <w:t xml:space="preserve">TASKS, SCHEDULES, AND PRODUCTS </w:t>
      </w:r>
    </w:p>
    <w:p w14:paraId="22BD9980" w14:textId="4B867BED" w:rsidR="006F55D0" w:rsidRPr="00D75C96" w:rsidRDefault="006F55D0" w:rsidP="008C2CEE">
      <w:pPr>
        <w:pStyle w:val="BodyText"/>
        <w:ind w:right="504"/>
        <w:rPr>
          <w:rFonts w:ascii="Calibri" w:eastAsia="Georgia" w:hAnsi="Calibri" w:cs="Calibri"/>
          <w:b/>
          <w:bCs/>
          <w:sz w:val="22"/>
          <w:szCs w:val="22"/>
        </w:rPr>
      </w:pPr>
      <w:r w:rsidRPr="00D75C96">
        <w:rPr>
          <w:rFonts w:ascii="Calibri" w:eastAsia="Georgia" w:hAnsi="Calibri" w:cs="Calibri"/>
          <w:b/>
          <w:bCs/>
          <w:sz w:val="22"/>
          <w:szCs w:val="22"/>
        </w:rPr>
        <w:t>Task 1: Update gateway community database and contact list (June</w:t>
      </w:r>
      <w:r w:rsidR="006B3DE1" w:rsidRPr="00D75C96">
        <w:rPr>
          <w:rFonts w:ascii="Calibri" w:eastAsia="Georgia" w:hAnsi="Calibri" w:cs="Calibri"/>
          <w:b/>
          <w:bCs/>
          <w:sz w:val="22"/>
          <w:szCs w:val="22"/>
        </w:rPr>
        <w:t>—</w:t>
      </w:r>
      <w:r w:rsidRPr="00D75C96">
        <w:rPr>
          <w:rFonts w:ascii="Calibri" w:eastAsia="Georgia" w:hAnsi="Calibri" w:cs="Calibri"/>
          <w:b/>
          <w:bCs/>
          <w:sz w:val="22"/>
          <w:szCs w:val="22"/>
        </w:rPr>
        <w:t xml:space="preserve">September 2021): </w:t>
      </w:r>
      <w:r w:rsidRPr="00D75C96">
        <w:rPr>
          <w:rFonts w:ascii="Calibri" w:eastAsia="Georgia" w:hAnsi="Calibri" w:cs="Calibri"/>
          <w:sz w:val="22"/>
          <w:szCs w:val="22"/>
        </w:rPr>
        <w:t xml:space="preserve">We currently have a team of </w:t>
      </w:r>
      <w:r w:rsidR="004F0389" w:rsidRPr="00D75C96">
        <w:rPr>
          <w:rFonts w:ascii="Calibri" w:eastAsia="Georgia" w:hAnsi="Calibri" w:cs="Calibri"/>
          <w:sz w:val="22"/>
          <w:szCs w:val="22"/>
        </w:rPr>
        <w:t xml:space="preserve">four graduate </w:t>
      </w:r>
      <w:r w:rsidRPr="00D75C96">
        <w:rPr>
          <w:rFonts w:ascii="Calibri" w:eastAsia="Georgia" w:hAnsi="Calibri" w:cs="Calibri"/>
          <w:sz w:val="22"/>
          <w:szCs w:val="22"/>
        </w:rPr>
        <w:t xml:space="preserve">students working on updating our database of </w:t>
      </w:r>
      <w:r w:rsidR="005C360B" w:rsidRPr="00D75C96">
        <w:rPr>
          <w:rFonts w:ascii="Calibri" w:eastAsia="Georgia" w:hAnsi="Calibri" w:cs="Calibri"/>
          <w:sz w:val="22"/>
          <w:szCs w:val="22"/>
        </w:rPr>
        <w:t xml:space="preserve">contacts for </w:t>
      </w:r>
      <w:r w:rsidRPr="00D75C96">
        <w:rPr>
          <w:rFonts w:ascii="Calibri" w:eastAsia="Georgia" w:hAnsi="Calibri" w:cs="Calibri"/>
          <w:sz w:val="22"/>
          <w:szCs w:val="22"/>
        </w:rPr>
        <w:t>public official</w:t>
      </w:r>
      <w:r w:rsidR="005C360B" w:rsidRPr="00D75C96">
        <w:rPr>
          <w:rFonts w:ascii="Calibri" w:eastAsia="Georgia" w:hAnsi="Calibri" w:cs="Calibri"/>
          <w:sz w:val="22"/>
          <w:szCs w:val="22"/>
        </w:rPr>
        <w:t>s</w:t>
      </w:r>
      <w:r w:rsidRPr="00D75C96">
        <w:rPr>
          <w:rFonts w:ascii="Calibri" w:eastAsia="Georgia" w:hAnsi="Calibri" w:cs="Calibri"/>
          <w:sz w:val="22"/>
          <w:szCs w:val="22"/>
        </w:rPr>
        <w:t xml:space="preserve"> in over 1,</w:t>
      </w:r>
      <w:r w:rsidR="00A2607A" w:rsidRPr="00D75C96">
        <w:rPr>
          <w:rFonts w:ascii="Calibri" w:eastAsia="Georgia" w:hAnsi="Calibri" w:cs="Calibri"/>
          <w:sz w:val="22"/>
          <w:szCs w:val="22"/>
        </w:rPr>
        <w:t xml:space="preserve">800 </w:t>
      </w:r>
      <w:r w:rsidRPr="00D75C96">
        <w:rPr>
          <w:rFonts w:ascii="Calibri" w:eastAsia="Georgia" w:hAnsi="Calibri" w:cs="Calibri"/>
          <w:sz w:val="22"/>
          <w:szCs w:val="22"/>
        </w:rPr>
        <w:t>western gateway communities</w:t>
      </w:r>
      <w:r w:rsidR="006B3DE1" w:rsidRPr="00D75C96">
        <w:rPr>
          <w:rFonts w:ascii="Calibri" w:eastAsia="Georgia" w:hAnsi="Calibri" w:cs="Calibri"/>
          <w:sz w:val="22"/>
          <w:szCs w:val="22"/>
        </w:rPr>
        <w:t xml:space="preserve">. </w:t>
      </w:r>
      <w:r w:rsidRPr="00D75C96">
        <w:rPr>
          <w:rFonts w:ascii="Calibri" w:eastAsia="Georgia" w:hAnsi="Calibri" w:cs="Calibri"/>
          <w:sz w:val="22"/>
          <w:szCs w:val="22"/>
        </w:rPr>
        <w:t>The students are working under the guidance of Dr. Rumore and Dr. Stoker.</w:t>
      </w:r>
      <w:r w:rsidR="006B3DE1" w:rsidRPr="00D75C96">
        <w:rPr>
          <w:rFonts w:ascii="Calibri" w:eastAsia="Georgia" w:hAnsi="Calibri" w:cs="Calibri"/>
          <w:sz w:val="22"/>
          <w:szCs w:val="22"/>
        </w:rPr>
        <w:t xml:space="preserve"> The contact database will be completely updated by September 2021.</w:t>
      </w:r>
    </w:p>
    <w:p w14:paraId="4DEED697" w14:textId="6B1D191B" w:rsidR="006F55D0" w:rsidRPr="00D75C96" w:rsidRDefault="006F55D0" w:rsidP="005262B1">
      <w:pPr>
        <w:pStyle w:val="BodyText"/>
        <w:spacing w:before="120"/>
        <w:ind w:right="504"/>
        <w:rPr>
          <w:rFonts w:ascii="Calibri" w:eastAsia="Georgia" w:hAnsi="Calibri" w:cs="Calibri"/>
          <w:b/>
          <w:bCs/>
          <w:sz w:val="22"/>
          <w:szCs w:val="22"/>
        </w:rPr>
      </w:pPr>
      <w:r w:rsidRPr="00D75C96">
        <w:rPr>
          <w:rFonts w:ascii="Calibri" w:eastAsia="Georgia" w:hAnsi="Calibri" w:cs="Calibri"/>
          <w:b/>
          <w:bCs/>
          <w:sz w:val="22"/>
          <w:szCs w:val="22"/>
        </w:rPr>
        <w:t>Task 2: Design</w:t>
      </w:r>
      <w:r w:rsidR="00B300B6" w:rsidRPr="00D75C96">
        <w:rPr>
          <w:rFonts w:ascii="Calibri" w:eastAsia="Georgia" w:hAnsi="Calibri" w:cs="Calibri"/>
          <w:b/>
          <w:bCs/>
          <w:sz w:val="22"/>
          <w:szCs w:val="22"/>
        </w:rPr>
        <w:t xml:space="preserve">, </w:t>
      </w:r>
      <w:r w:rsidRPr="00D75C96">
        <w:rPr>
          <w:rFonts w:ascii="Calibri" w:eastAsia="Georgia" w:hAnsi="Calibri" w:cs="Calibri"/>
          <w:b/>
          <w:bCs/>
          <w:sz w:val="22"/>
          <w:szCs w:val="22"/>
        </w:rPr>
        <w:t>administer</w:t>
      </w:r>
      <w:r w:rsidR="00B300B6" w:rsidRPr="00D75C96">
        <w:rPr>
          <w:rFonts w:ascii="Calibri" w:eastAsia="Georgia" w:hAnsi="Calibri" w:cs="Calibri"/>
          <w:b/>
          <w:bCs/>
          <w:sz w:val="22"/>
          <w:szCs w:val="22"/>
        </w:rPr>
        <w:t>, and analyze</w:t>
      </w:r>
      <w:r w:rsidRPr="00D75C96">
        <w:rPr>
          <w:rFonts w:ascii="Calibri" w:eastAsia="Georgia" w:hAnsi="Calibri" w:cs="Calibri"/>
          <w:b/>
          <w:bCs/>
          <w:sz w:val="22"/>
          <w:szCs w:val="22"/>
        </w:rPr>
        <w:t xml:space="preserve"> regional survey (October—</w:t>
      </w:r>
      <w:r w:rsidR="005C360B" w:rsidRPr="00D75C96">
        <w:rPr>
          <w:rFonts w:ascii="Calibri" w:eastAsia="Georgia" w:hAnsi="Calibri" w:cs="Calibri"/>
          <w:b/>
          <w:bCs/>
          <w:sz w:val="22"/>
          <w:szCs w:val="22"/>
        </w:rPr>
        <w:t>December</w:t>
      </w:r>
      <w:r w:rsidRPr="00D75C96">
        <w:rPr>
          <w:rFonts w:ascii="Calibri" w:eastAsia="Georgia" w:hAnsi="Calibri" w:cs="Calibri"/>
          <w:b/>
          <w:bCs/>
          <w:sz w:val="22"/>
          <w:szCs w:val="22"/>
        </w:rPr>
        <w:t xml:space="preserve"> 2021): </w:t>
      </w:r>
      <w:r w:rsidRPr="00D75C96">
        <w:rPr>
          <w:rFonts w:ascii="Calibri" w:eastAsia="Georgia" w:hAnsi="Calibri" w:cs="Calibri"/>
          <w:sz w:val="22"/>
          <w:szCs w:val="22"/>
        </w:rPr>
        <w:t>We will develop a survey instrument to explore the above-described topics</w:t>
      </w:r>
      <w:r w:rsidR="006B3DE1" w:rsidRPr="00D75C96">
        <w:rPr>
          <w:rFonts w:ascii="Calibri" w:eastAsia="Georgia" w:hAnsi="Calibri" w:cs="Calibri"/>
          <w:sz w:val="22"/>
          <w:szCs w:val="22"/>
        </w:rPr>
        <w:t>. This survey</w:t>
      </w:r>
      <w:r w:rsidRPr="00D75C96">
        <w:rPr>
          <w:rFonts w:ascii="Calibri" w:eastAsia="Georgia" w:hAnsi="Calibri" w:cs="Calibri"/>
          <w:sz w:val="22"/>
          <w:szCs w:val="22"/>
        </w:rPr>
        <w:t xml:space="preserve"> will be administered electronically to </w:t>
      </w:r>
      <w:r w:rsidR="006B3DE1" w:rsidRPr="00D75C96">
        <w:rPr>
          <w:rFonts w:ascii="Calibri" w:eastAsia="Georgia" w:hAnsi="Calibri" w:cs="Calibri"/>
          <w:sz w:val="22"/>
          <w:szCs w:val="22"/>
        </w:rPr>
        <w:t xml:space="preserve">all the </w:t>
      </w:r>
      <w:r w:rsidRPr="00D75C96">
        <w:rPr>
          <w:rFonts w:ascii="Calibri" w:eastAsia="Georgia" w:hAnsi="Calibri" w:cs="Calibri"/>
          <w:sz w:val="22"/>
          <w:szCs w:val="22"/>
        </w:rPr>
        <w:t xml:space="preserve">public officials in </w:t>
      </w:r>
      <w:r w:rsidR="006B3DE1" w:rsidRPr="00D75C96">
        <w:rPr>
          <w:rFonts w:ascii="Calibri" w:eastAsia="Georgia" w:hAnsi="Calibri" w:cs="Calibri"/>
          <w:sz w:val="22"/>
          <w:szCs w:val="22"/>
        </w:rPr>
        <w:t xml:space="preserve">our gateway community </w:t>
      </w:r>
      <w:r w:rsidRPr="00D75C96">
        <w:rPr>
          <w:rFonts w:ascii="Calibri" w:eastAsia="Georgia" w:hAnsi="Calibri" w:cs="Calibri"/>
          <w:sz w:val="22"/>
          <w:szCs w:val="22"/>
        </w:rPr>
        <w:t xml:space="preserve">database. Based on our prior study and ongoing engagement with gateway communities, we anticipate a 25% or higher response rate for a total sample of </w:t>
      </w:r>
      <w:r w:rsidR="002A64D0" w:rsidRPr="00D75C96">
        <w:rPr>
          <w:rFonts w:ascii="Calibri" w:eastAsia="Georgia" w:hAnsi="Calibri" w:cs="Calibri"/>
          <w:sz w:val="22"/>
          <w:szCs w:val="22"/>
        </w:rPr>
        <w:t xml:space="preserve">roughly 400 </w:t>
      </w:r>
      <w:r w:rsidR="00A2607A" w:rsidRPr="00D75C96">
        <w:rPr>
          <w:rFonts w:ascii="Calibri" w:eastAsia="Georgia" w:hAnsi="Calibri" w:cs="Calibri"/>
          <w:sz w:val="22"/>
          <w:szCs w:val="22"/>
        </w:rPr>
        <w:t xml:space="preserve">responses from </w:t>
      </w:r>
      <w:r w:rsidRPr="00D75C96">
        <w:rPr>
          <w:rFonts w:ascii="Calibri" w:eastAsia="Georgia" w:hAnsi="Calibri" w:cs="Calibri"/>
          <w:sz w:val="22"/>
          <w:szCs w:val="22"/>
        </w:rPr>
        <w:t xml:space="preserve">350 or more </w:t>
      </w:r>
      <w:r w:rsidR="00A2607A" w:rsidRPr="00D75C96">
        <w:rPr>
          <w:rFonts w:ascii="Calibri" w:eastAsia="Georgia" w:hAnsi="Calibri" w:cs="Calibri"/>
          <w:sz w:val="22"/>
          <w:szCs w:val="22"/>
        </w:rPr>
        <w:t>communities</w:t>
      </w:r>
      <w:r w:rsidRPr="00D75C96">
        <w:rPr>
          <w:rFonts w:ascii="Calibri" w:eastAsia="Georgia" w:hAnsi="Calibri" w:cs="Calibri"/>
          <w:sz w:val="22"/>
          <w:szCs w:val="22"/>
        </w:rPr>
        <w:t xml:space="preserve">. Dr. Rumore and Dr. Stoker will lead the development of the questionnaire that will be used for the survey, with input from graduate students working on this </w:t>
      </w:r>
      <w:r w:rsidR="006B3DE1" w:rsidRPr="00D75C96">
        <w:rPr>
          <w:rFonts w:ascii="Calibri" w:eastAsia="Georgia" w:hAnsi="Calibri" w:cs="Calibri"/>
          <w:sz w:val="22"/>
          <w:szCs w:val="22"/>
        </w:rPr>
        <w:t>project</w:t>
      </w:r>
      <w:r w:rsidRPr="00D75C96">
        <w:rPr>
          <w:rFonts w:ascii="Calibri" w:eastAsia="Georgia" w:hAnsi="Calibri" w:cs="Calibri"/>
          <w:sz w:val="22"/>
          <w:szCs w:val="22"/>
        </w:rPr>
        <w:t xml:space="preserve"> and project partners. The survey will be administered by Dr. Stoker, who administered our 2018 survey. </w:t>
      </w:r>
      <w:r w:rsidR="00B300B6" w:rsidRPr="00D75C96">
        <w:rPr>
          <w:rFonts w:ascii="Calibri" w:eastAsia="Georgia" w:hAnsi="Calibri" w:cs="Calibri"/>
          <w:sz w:val="22"/>
          <w:szCs w:val="22"/>
        </w:rPr>
        <w:t xml:space="preserve">Dr. Stoker and the </w:t>
      </w:r>
      <w:r w:rsidR="00031173" w:rsidRPr="00D75C96">
        <w:rPr>
          <w:rFonts w:ascii="Calibri" w:eastAsia="Georgia" w:hAnsi="Calibri" w:cs="Calibri"/>
          <w:sz w:val="22"/>
          <w:szCs w:val="22"/>
        </w:rPr>
        <w:t>students</w:t>
      </w:r>
      <w:r w:rsidR="00B300B6" w:rsidRPr="00D75C96">
        <w:rPr>
          <w:rFonts w:ascii="Calibri" w:eastAsia="Georgia" w:hAnsi="Calibri" w:cs="Calibri"/>
          <w:sz w:val="22"/>
          <w:szCs w:val="22"/>
        </w:rPr>
        <w:t xml:space="preserve"> under his supervision will analyze the results of the survey using SPSS software.</w:t>
      </w:r>
    </w:p>
    <w:p w14:paraId="189D912E" w14:textId="6C78AE87" w:rsidR="006B3DE1" w:rsidRPr="00D75C96" w:rsidRDefault="006F55D0" w:rsidP="005262B1">
      <w:pPr>
        <w:pStyle w:val="BodyText"/>
        <w:spacing w:before="120"/>
        <w:ind w:right="504"/>
        <w:rPr>
          <w:rFonts w:ascii="Calibri" w:eastAsia="Georgia" w:hAnsi="Calibri" w:cs="Calibri"/>
          <w:sz w:val="22"/>
          <w:szCs w:val="22"/>
        </w:rPr>
      </w:pPr>
      <w:r w:rsidRPr="00D75C96">
        <w:rPr>
          <w:rFonts w:ascii="Calibri" w:eastAsia="Georgia" w:hAnsi="Calibri" w:cs="Calibri"/>
          <w:b/>
          <w:bCs/>
          <w:sz w:val="22"/>
          <w:szCs w:val="22"/>
        </w:rPr>
        <w:t>Task 3: Obtain and analyze Census data (October</w:t>
      </w:r>
      <w:r w:rsidR="006B3DE1" w:rsidRPr="00D75C96">
        <w:rPr>
          <w:rFonts w:ascii="Calibri" w:eastAsia="Georgia" w:hAnsi="Calibri" w:cs="Calibri"/>
          <w:b/>
          <w:bCs/>
          <w:sz w:val="22"/>
          <w:szCs w:val="22"/>
        </w:rPr>
        <w:t>—</w:t>
      </w:r>
      <w:r w:rsidRPr="00D75C96">
        <w:rPr>
          <w:rFonts w:ascii="Calibri" w:eastAsia="Georgia" w:hAnsi="Calibri" w:cs="Calibri"/>
          <w:b/>
          <w:bCs/>
          <w:sz w:val="22"/>
          <w:szCs w:val="22"/>
        </w:rPr>
        <w:t>Nov</w:t>
      </w:r>
      <w:r w:rsidR="006B3DE1" w:rsidRPr="00D75C96">
        <w:rPr>
          <w:rFonts w:ascii="Calibri" w:eastAsia="Georgia" w:hAnsi="Calibri" w:cs="Calibri"/>
          <w:b/>
          <w:bCs/>
          <w:sz w:val="22"/>
          <w:szCs w:val="22"/>
        </w:rPr>
        <w:t>ember</w:t>
      </w:r>
      <w:r w:rsidRPr="00D75C96">
        <w:rPr>
          <w:rFonts w:ascii="Calibri" w:eastAsia="Georgia" w:hAnsi="Calibri" w:cs="Calibri"/>
          <w:b/>
          <w:bCs/>
          <w:sz w:val="22"/>
          <w:szCs w:val="22"/>
        </w:rPr>
        <w:t xml:space="preserve"> 2021): </w:t>
      </w:r>
      <w:r w:rsidR="00B300B6" w:rsidRPr="00D75C96">
        <w:rPr>
          <w:rFonts w:ascii="Calibri" w:eastAsia="Georgia" w:hAnsi="Calibri" w:cs="Calibri"/>
          <w:sz w:val="22"/>
          <w:szCs w:val="22"/>
        </w:rPr>
        <w:t xml:space="preserve">We will </w:t>
      </w:r>
      <w:r w:rsidR="00264966" w:rsidRPr="00D75C96">
        <w:rPr>
          <w:rFonts w:ascii="Calibri" w:eastAsia="Georgia" w:hAnsi="Calibri" w:cs="Calibri"/>
          <w:sz w:val="22"/>
          <w:szCs w:val="22"/>
        </w:rPr>
        <w:t xml:space="preserve">obtain 2020 </w:t>
      </w:r>
      <w:r w:rsidR="006B3DE1" w:rsidRPr="00D75C96">
        <w:rPr>
          <w:rFonts w:ascii="Calibri" w:eastAsia="Georgia" w:hAnsi="Calibri" w:cs="Calibri"/>
          <w:sz w:val="22"/>
          <w:szCs w:val="22"/>
        </w:rPr>
        <w:t xml:space="preserve">Census data for the communities in our gateway community database. </w:t>
      </w:r>
      <w:r w:rsidR="00A2607A" w:rsidRPr="00D75C96">
        <w:rPr>
          <w:rFonts w:ascii="Calibri" w:eastAsia="Georgia" w:hAnsi="Calibri" w:cs="Calibri"/>
          <w:sz w:val="22"/>
          <w:szCs w:val="22"/>
        </w:rPr>
        <w:t xml:space="preserve">We </w:t>
      </w:r>
      <w:r w:rsidR="006B3DE1" w:rsidRPr="00D75C96">
        <w:rPr>
          <w:rFonts w:ascii="Calibri" w:eastAsia="Georgia" w:hAnsi="Calibri" w:cs="Calibri"/>
          <w:sz w:val="22"/>
          <w:szCs w:val="22"/>
        </w:rPr>
        <w:t xml:space="preserve">will </w:t>
      </w:r>
      <w:r w:rsidR="00B300B6" w:rsidRPr="00D75C96">
        <w:rPr>
          <w:rFonts w:ascii="Calibri" w:eastAsia="Georgia" w:hAnsi="Calibri" w:cs="Calibri"/>
          <w:sz w:val="22"/>
          <w:szCs w:val="22"/>
        </w:rPr>
        <w:t xml:space="preserve">use </w:t>
      </w:r>
      <w:r w:rsidR="006B3DE1" w:rsidRPr="00D75C96">
        <w:rPr>
          <w:rFonts w:ascii="Calibri" w:eastAsia="Georgia" w:hAnsi="Calibri" w:cs="Calibri"/>
          <w:sz w:val="22"/>
          <w:szCs w:val="22"/>
        </w:rPr>
        <w:t xml:space="preserve">Census data </w:t>
      </w:r>
      <w:r w:rsidR="00B300B6" w:rsidRPr="00D75C96">
        <w:rPr>
          <w:rFonts w:ascii="Calibri" w:eastAsia="Georgia" w:hAnsi="Calibri" w:cs="Calibri"/>
          <w:sz w:val="22"/>
          <w:szCs w:val="22"/>
        </w:rPr>
        <w:t>to examine growth and development trends across gateway communities</w:t>
      </w:r>
      <w:r w:rsidR="00D66E20" w:rsidRPr="00D75C96">
        <w:rPr>
          <w:rFonts w:ascii="Calibri" w:eastAsia="Georgia" w:hAnsi="Calibri" w:cs="Calibri"/>
          <w:sz w:val="22"/>
          <w:szCs w:val="22"/>
        </w:rPr>
        <w:t xml:space="preserve"> and to cross tabulate our </w:t>
      </w:r>
      <w:r w:rsidR="00B300B6" w:rsidRPr="00D75C96">
        <w:rPr>
          <w:rFonts w:ascii="Calibri" w:eastAsia="Georgia" w:hAnsi="Calibri" w:cs="Calibri"/>
          <w:sz w:val="22"/>
          <w:szCs w:val="22"/>
        </w:rPr>
        <w:t>survey results. We will also collect</w:t>
      </w:r>
      <w:r w:rsidR="00264966" w:rsidRPr="00D75C96">
        <w:rPr>
          <w:rFonts w:ascii="Calibri" w:eastAsia="Georgia" w:hAnsi="Calibri" w:cs="Calibri"/>
          <w:sz w:val="22"/>
          <w:szCs w:val="22"/>
        </w:rPr>
        <w:t xml:space="preserve"> updated</w:t>
      </w:r>
      <w:r w:rsidR="00B300B6" w:rsidRPr="00D75C96">
        <w:rPr>
          <w:rFonts w:ascii="Calibri" w:eastAsia="Georgia" w:hAnsi="Calibri" w:cs="Calibri"/>
          <w:sz w:val="22"/>
          <w:szCs w:val="22"/>
        </w:rPr>
        <w:t xml:space="preserve"> Census data on non-rural gateway communities and urban communities and </w:t>
      </w:r>
      <w:r w:rsidR="00D66E20" w:rsidRPr="00D75C96">
        <w:rPr>
          <w:rFonts w:ascii="Calibri" w:eastAsia="Georgia" w:hAnsi="Calibri" w:cs="Calibri"/>
          <w:sz w:val="22"/>
          <w:szCs w:val="22"/>
        </w:rPr>
        <w:t>will</w:t>
      </w:r>
      <w:r w:rsidR="00B300B6" w:rsidRPr="00D75C96">
        <w:rPr>
          <w:rFonts w:ascii="Calibri" w:eastAsia="Georgia" w:hAnsi="Calibri" w:cs="Calibri"/>
          <w:sz w:val="22"/>
          <w:szCs w:val="22"/>
        </w:rPr>
        <w:t xml:space="preserve"> compare trends in gateway communities to those in other kinds of communities. </w:t>
      </w:r>
      <w:r w:rsidR="00264966" w:rsidRPr="00D75C96">
        <w:rPr>
          <w:rFonts w:ascii="Calibri" w:eastAsia="Georgia" w:hAnsi="Calibri" w:cs="Calibri"/>
          <w:sz w:val="22"/>
          <w:szCs w:val="22"/>
        </w:rPr>
        <w:t xml:space="preserve">We already have 2018 American Community Survey data for </w:t>
      </w:r>
      <w:r w:rsidR="00D66E20" w:rsidRPr="00D75C96">
        <w:rPr>
          <w:rFonts w:ascii="Calibri" w:eastAsia="Georgia" w:hAnsi="Calibri" w:cs="Calibri"/>
          <w:sz w:val="22"/>
          <w:szCs w:val="22"/>
        </w:rPr>
        <w:t xml:space="preserve">the gateway </w:t>
      </w:r>
      <w:r w:rsidR="00264966" w:rsidRPr="00D75C96">
        <w:rPr>
          <w:rFonts w:ascii="Calibri" w:eastAsia="Georgia" w:hAnsi="Calibri" w:cs="Calibri"/>
          <w:sz w:val="22"/>
          <w:szCs w:val="22"/>
        </w:rPr>
        <w:t xml:space="preserve">communities in our database as well as western non-gateway rural communities, which will allow us to easily examine trends over time in these different types of rural places.  </w:t>
      </w:r>
      <w:r w:rsidR="00B300B6" w:rsidRPr="00D75C96">
        <w:rPr>
          <w:rFonts w:ascii="Calibri" w:eastAsia="Georgia" w:hAnsi="Calibri" w:cs="Calibri"/>
          <w:sz w:val="22"/>
          <w:szCs w:val="22"/>
        </w:rPr>
        <w:t xml:space="preserve">Dr. Stoker will lead these efforts, with help from the </w:t>
      </w:r>
      <w:r w:rsidR="00031173" w:rsidRPr="00D75C96">
        <w:rPr>
          <w:rFonts w:ascii="Calibri" w:eastAsia="Georgia" w:hAnsi="Calibri" w:cs="Calibri"/>
          <w:sz w:val="22"/>
          <w:szCs w:val="22"/>
        </w:rPr>
        <w:t>students</w:t>
      </w:r>
      <w:r w:rsidR="00B300B6" w:rsidRPr="00D75C96">
        <w:rPr>
          <w:rFonts w:ascii="Calibri" w:eastAsia="Georgia" w:hAnsi="Calibri" w:cs="Calibri"/>
          <w:sz w:val="22"/>
          <w:szCs w:val="22"/>
        </w:rPr>
        <w:t xml:space="preserve"> under his and Dr. Rumore’s supervision. </w:t>
      </w:r>
    </w:p>
    <w:p w14:paraId="6C85DE5F" w14:textId="131384A6" w:rsidR="008C2CEE" w:rsidRPr="00D75C96" w:rsidRDefault="008C2CEE" w:rsidP="006F55D0">
      <w:pPr>
        <w:pStyle w:val="BodyText"/>
        <w:spacing w:before="123"/>
        <w:ind w:left="-2" w:right="464"/>
        <w:rPr>
          <w:rFonts w:ascii="Calibri" w:eastAsia="Georgia" w:hAnsi="Calibri" w:cs="Calibri"/>
          <w:sz w:val="22"/>
          <w:szCs w:val="22"/>
        </w:rPr>
      </w:pPr>
      <w:r w:rsidRPr="00D75C96">
        <w:rPr>
          <w:rFonts w:ascii="Calibri" w:eastAsia="Georgia" w:hAnsi="Calibri" w:cs="Calibri"/>
          <w:b/>
          <w:bCs/>
          <w:sz w:val="22"/>
          <w:szCs w:val="22"/>
        </w:rPr>
        <w:t xml:space="preserve">Task </w:t>
      </w:r>
      <w:r w:rsidR="002B73D0" w:rsidRPr="00D75C96">
        <w:rPr>
          <w:rFonts w:ascii="Calibri" w:eastAsia="Georgia" w:hAnsi="Calibri" w:cs="Calibri"/>
          <w:b/>
          <w:bCs/>
          <w:sz w:val="22"/>
          <w:szCs w:val="22"/>
        </w:rPr>
        <w:t>4</w:t>
      </w:r>
      <w:r w:rsidRPr="00D75C96">
        <w:rPr>
          <w:rFonts w:ascii="Calibri" w:eastAsia="Georgia" w:hAnsi="Calibri" w:cs="Calibri"/>
          <w:b/>
          <w:bCs/>
          <w:sz w:val="22"/>
          <w:szCs w:val="22"/>
        </w:rPr>
        <w:t xml:space="preserve">: Convene and facilitate </w:t>
      </w:r>
      <w:r w:rsidR="006760F9" w:rsidRPr="00D75C96">
        <w:rPr>
          <w:rFonts w:ascii="Calibri" w:eastAsia="Georgia" w:hAnsi="Calibri" w:cs="Calibri"/>
          <w:b/>
          <w:bCs/>
          <w:sz w:val="22"/>
          <w:szCs w:val="22"/>
        </w:rPr>
        <w:t>community partner</w:t>
      </w:r>
      <w:r w:rsidRPr="00D75C96">
        <w:rPr>
          <w:rFonts w:ascii="Calibri" w:eastAsia="Georgia" w:hAnsi="Calibri" w:cs="Calibri"/>
          <w:b/>
          <w:bCs/>
          <w:sz w:val="22"/>
          <w:szCs w:val="22"/>
        </w:rPr>
        <w:t xml:space="preserve"> workshops (October 2021</w:t>
      </w:r>
      <w:r w:rsidR="00B300B6" w:rsidRPr="00D75C96">
        <w:rPr>
          <w:rFonts w:ascii="Calibri" w:eastAsia="Georgia" w:hAnsi="Calibri" w:cs="Calibri"/>
          <w:b/>
          <w:bCs/>
          <w:sz w:val="22"/>
          <w:szCs w:val="22"/>
        </w:rPr>
        <w:t>—</w:t>
      </w:r>
      <w:r w:rsidRPr="00D75C96">
        <w:rPr>
          <w:rFonts w:ascii="Calibri" w:eastAsia="Georgia" w:hAnsi="Calibri" w:cs="Calibri"/>
          <w:b/>
          <w:bCs/>
          <w:sz w:val="22"/>
          <w:szCs w:val="22"/>
        </w:rPr>
        <w:t xml:space="preserve">October 2022): </w:t>
      </w:r>
      <w:r w:rsidRPr="00D75C96">
        <w:rPr>
          <w:rFonts w:ascii="Calibri" w:eastAsia="Georgia" w:hAnsi="Calibri" w:cs="Calibri"/>
          <w:sz w:val="22"/>
          <w:szCs w:val="22"/>
        </w:rPr>
        <w:t xml:space="preserve">We have already identified </w:t>
      </w:r>
      <w:r w:rsidR="00B300B6" w:rsidRPr="00D75C96">
        <w:rPr>
          <w:rFonts w:ascii="Calibri" w:eastAsia="Georgia" w:hAnsi="Calibri" w:cs="Calibri"/>
          <w:sz w:val="22"/>
          <w:szCs w:val="22"/>
        </w:rPr>
        <w:t>potential</w:t>
      </w:r>
      <w:r w:rsidRPr="00D75C96">
        <w:rPr>
          <w:rFonts w:ascii="Calibri" w:eastAsia="Georgia" w:hAnsi="Calibri" w:cs="Calibri"/>
          <w:sz w:val="22"/>
          <w:szCs w:val="22"/>
        </w:rPr>
        <w:t xml:space="preserve"> case study communities, which will </w:t>
      </w:r>
      <w:r w:rsidR="00004668" w:rsidRPr="00D75C96">
        <w:rPr>
          <w:rFonts w:ascii="Calibri" w:eastAsia="Georgia" w:hAnsi="Calibri" w:cs="Calibri"/>
          <w:sz w:val="22"/>
          <w:szCs w:val="22"/>
        </w:rPr>
        <w:t xml:space="preserve">include </w:t>
      </w:r>
      <w:r w:rsidRPr="00D75C96">
        <w:rPr>
          <w:rFonts w:ascii="Calibri" w:eastAsia="Georgia" w:hAnsi="Calibri" w:cs="Calibri"/>
          <w:sz w:val="22"/>
          <w:szCs w:val="22"/>
        </w:rPr>
        <w:t xml:space="preserve">Aspen, CO; Springdale, UT; Moab, UT; </w:t>
      </w:r>
      <w:r w:rsidR="00004668" w:rsidRPr="00D75C96">
        <w:rPr>
          <w:rFonts w:ascii="Calibri" w:eastAsia="Georgia" w:hAnsi="Calibri" w:cs="Calibri"/>
          <w:sz w:val="22"/>
          <w:szCs w:val="22"/>
        </w:rPr>
        <w:t xml:space="preserve">Whitefish, MT; </w:t>
      </w:r>
      <w:r w:rsidR="00264966" w:rsidRPr="00D75C96">
        <w:rPr>
          <w:rFonts w:ascii="Calibri" w:eastAsia="Georgia" w:hAnsi="Calibri" w:cs="Calibri"/>
          <w:sz w:val="22"/>
          <w:szCs w:val="22"/>
        </w:rPr>
        <w:t xml:space="preserve">and Jackson, WY; as well as potentially </w:t>
      </w:r>
      <w:r w:rsidR="005C360B" w:rsidRPr="00D75C96">
        <w:rPr>
          <w:rFonts w:ascii="Calibri" w:eastAsia="Georgia" w:hAnsi="Calibri" w:cs="Calibri"/>
          <w:sz w:val="22"/>
          <w:szCs w:val="22"/>
        </w:rPr>
        <w:t xml:space="preserve">Breckenridge, CO; Park City, UT; </w:t>
      </w:r>
      <w:r w:rsidRPr="00D75C96">
        <w:rPr>
          <w:rFonts w:ascii="Calibri" w:eastAsia="Georgia" w:hAnsi="Calibri" w:cs="Calibri"/>
          <w:sz w:val="22"/>
          <w:szCs w:val="22"/>
        </w:rPr>
        <w:t>West Glacier, MT;</w:t>
      </w:r>
      <w:r w:rsidR="00004668" w:rsidRPr="00D75C96">
        <w:rPr>
          <w:rFonts w:ascii="Calibri" w:eastAsia="Georgia" w:hAnsi="Calibri" w:cs="Calibri"/>
          <w:sz w:val="22"/>
          <w:szCs w:val="22"/>
        </w:rPr>
        <w:t xml:space="preserve"> Sandpoint, ID; McCall, ID; Lake Tahoe, CA; and</w:t>
      </w:r>
      <w:r w:rsidR="00264966" w:rsidRPr="00D75C96">
        <w:rPr>
          <w:rFonts w:ascii="Calibri" w:eastAsia="Georgia" w:hAnsi="Calibri" w:cs="Calibri"/>
          <w:sz w:val="22"/>
          <w:szCs w:val="22"/>
        </w:rPr>
        <w:t>/or</w:t>
      </w:r>
      <w:r w:rsidR="00004668" w:rsidRPr="00D75C96">
        <w:rPr>
          <w:rFonts w:ascii="Calibri" w:eastAsia="Georgia" w:hAnsi="Calibri" w:cs="Calibri"/>
          <w:sz w:val="22"/>
          <w:szCs w:val="22"/>
        </w:rPr>
        <w:t xml:space="preserve"> Sedona, AZ</w:t>
      </w:r>
      <w:r w:rsidRPr="00D75C96">
        <w:rPr>
          <w:rFonts w:ascii="Calibri" w:eastAsia="Georgia" w:hAnsi="Calibri" w:cs="Calibri"/>
          <w:sz w:val="22"/>
          <w:szCs w:val="22"/>
        </w:rPr>
        <w:t>.  We have formalized partnerships with many of the</w:t>
      </w:r>
      <w:r w:rsidR="00264966" w:rsidRPr="00D75C96">
        <w:rPr>
          <w:rFonts w:ascii="Calibri" w:eastAsia="Georgia" w:hAnsi="Calibri" w:cs="Calibri"/>
          <w:sz w:val="22"/>
          <w:szCs w:val="22"/>
        </w:rPr>
        <w:t>se communities</w:t>
      </w:r>
      <w:r w:rsidR="00004668" w:rsidRPr="00D75C96">
        <w:rPr>
          <w:rFonts w:ascii="Calibri" w:eastAsia="Georgia" w:hAnsi="Calibri" w:cs="Calibri"/>
          <w:sz w:val="22"/>
          <w:szCs w:val="22"/>
        </w:rPr>
        <w:t xml:space="preserve"> (see attached cost match letters)</w:t>
      </w:r>
      <w:r w:rsidRPr="00D75C96">
        <w:rPr>
          <w:rFonts w:ascii="Calibri" w:eastAsia="Georgia" w:hAnsi="Calibri" w:cs="Calibri"/>
          <w:sz w:val="22"/>
          <w:szCs w:val="22"/>
        </w:rPr>
        <w:t xml:space="preserve">. </w:t>
      </w:r>
      <w:r w:rsidR="00B300B6" w:rsidRPr="00D75C96">
        <w:rPr>
          <w:rFonts w:ascii="Calibri" w:eastAsia="Georgia" w:hAnsi="Calibri" w:cs="Calibri"/>
          <w:sz w:val="22"/>
          <w:szCs w:val="22"/>
        </w:rPr>
        <w:t>To kick-off this project, w</w:t>
      </w:r>
      <w:r w:rsidRPr="00D75C96">
        <w:rPr>
          <w:rFonts w:ascii="Calibri" w:eastAsia="Georgia" w:hAnsi="Calibri" w:cs="Calibri"/>
          <w:sz w:val="22"/>
          <w:szCs w:val="22"/>
        </w:rPr>
        <w:t xml:space="preserve">e will convene a professionally facilitated workshop for case study partner communities in October 2021. During this workshop, we will review plans for the study, answer questions, </w:t>
      </w:r>
      <w:r w:rsidR="00D66E20" w:rsidRPr="00D75C96">
        <w:rPr>
          <w:rFonts w:ascii="Calibri" w:eastAsia="Georgia" w:hAnsi="Calibri" w:cs="Calibri"/>
          <w:sz w:val="22"/>
          <w:szCs w:val="22"/>
        </w:rPr>
        <w:t xml:space="preserve">get feedback to help refine our </w:t>
      </w:r>
      <w:r w:rsidRPr="00D75C96">
        <w:rPr>
          <w:rFonts w:ascii="Calibri" w:eastAsia="Georgia" w:hAnsi="Calibri" w:cs="Calibri"/>
          <w:sz w:val="22"/>
          <w:szCs w:val="22"/>
        </w:rPr>
        <w:t xml:space="preserve">study approach, and </w:t>
      </w:r>
      <w:r w:rsidR="00D66E20" w:rsidRPr="00D75C96">
        <w:rPr>
          <w:rFonts w:ascii="Calibri" w:eastAsia="Georgia" w:hAnsi="Calibri" w:cs="Calibri"/>
          <w:sz w:val="22"/>
          <w:szCs w:val="22"/>
        </w:rPr>
        <w:t>provide an</w:t>
      </w:r>
      <w:r w:rsidR="00B300B6" w:rsidRPr="00D75C96">
        <w:rPr>
          <w:rFonts w:ascii="Calibri" w:eastAsia="Georgia" w:hAnsi="Calibri" w:cs="Calibri"/>
          <w:sz w:val="22"/>
          <w:szCs w:val="22"/>
        </w:rPr>
        <w:t xml:space="preserve"> opportunity </w:t>
      </w:r>
      <w:r w:rsidRPr="00D75C96">
        <w:rPr>
          <w:rFonts w:ascii="Calibri" w:eastAsia="Georgia" w:hAnsi="Calibri" w:cs="Calibri"/>
          <w:sz w:val="22"/>
          <w:szCs w:val="22"/>
        </w:rPr>
        <w:t xml:space="preserve">to </w:t>
      </w:r>
      <w:r w:rsidR="00D66E20" w:rsidRPr="00D75C96">
        <w:rPr>
          <w:rFonts w:ascii="Calibri" w:eastAsia="Georgia" w:hAnsi="Calibri" w:cs="Calibri"/>
          <w:sz w:val="22"/>
          <w:szCs w:val="22"/>
        </w:rPr>
        <w:t xml:space="preserve">our partners to engage in peer-to-peer learning and joint strategizing around </w:t>
      </w:r>
      <w:r w:rsidRPr="00D75C96">
        <w:rPr>
          <w:rFonts w:ascii="Calibri" w:eastAsia="Georgia" w:hAnsi="Calibri" w:cs="Calibri"/>
          <w:sz w:val="22"/>
          <w:szCs w:val="22"/>
        </w:rPr>
        <w:t>transportation, housing, and land use challenges. We will then host additional workshop</w:t>
      </w:r>
      <w:r w:rsidR="00AA7E0C" w:rsidRPr="00D75C96">
        <w:rPr>
          <w:rFonts w:ascii="Calibri" w:eastAsia="Georgia" w:hAnsi="Calibri" w:cs="Calibri"/>
          <w:sz w:val="22"/>
          <w:szCs w:val="22"/>
        </w:rPr>
        <w:t>s</w:t>
      </w:r>
      <w:r w:rsidR="00004668" w:rsidRPr="00D75C96">
        <w:rPr>
          <w:rFonts w:ascii="Calibri" w:eastAsia="Georgia" w:hAnsi="Calibri" w:cs="Calibri"/>
          <w:sz w:val="22"/>
          <w:szCs w:val="22"/>
        </w:rPr>
        <w:t xml:space="preserve"> for our partner communities</w:t>
      </w:r>
      <w:r w:rsidR="00B300B6" w:rsidRPr="00D75C96">
        <w:rPr>
          <w:rFonts w:ascii="Calibri" w:eastAsia="Georgia" w:hAnsi="Calibri" w:cs="Calibri"/>
          <w:sz w:val="22"/>
          <w:szCs w:val="22"/>
        </w:rPr>
        <w:t xml:space="preserve"> throughout the project, likely every 4 months</w:t>
      </w:r>
      <w:r w:rsidR="00004668" w:rsidRPr="00D75C96">
        <w:rPr>
          <w:rFonts w:ascii="Calibri" w:eastAsia="Georgia" w:hAnsi="Calibri" w:cs="Calibri"/>
          <w:sz w:val="22"/>
          <w:szCs w:val="22"/>
        </w:rPr>
        <w:t xml:space="preserve"> or so</w:t>
      </w:r>
      <w:r w:rsidR="00B300B6" w:rsidRPr="00D75C96">
        <w:rPr>
          <w:rFonts w:ascii="Calibri" w:eastAsia="Georgia" w:hAnsi="Calibri" w:cs="Calibri"/>
          <w:sz w:val="22"/>
          <w:szCs w:val="22"/>
        </w:rPr>
        <w:t>,</w:t>
      </w:r>
      <w:r w:rsidRPr="00D75C96">
        <w:rPr>
          <w:rFonts w:ascii="Calibri" w:eastAsia="Georgia" w:hAnsi="Calibri" w:cs="Calibri"/>
          <w:sz w:val="22"/>
          <w:szCs w:val="22"/>
        </w:rPr>
        <w:t xml:space="preserve"> to provide project updates and ongoing peer-to-peer learning </w:t>
      </w:r>
      <w:r w:rsidR="00004668" w:rsidRPr="00D75C96">
        <w:rPr>
          <w:rFonts w:ascii="Calibri" w:eastAsia="Georgia" w:hAnsi="Calibri" w:cs="Calibri"/>
          <w:sz w:val="22"/>
          <w:szCs w:val="22"/>
        </w:rPr>
        <w:t>opportunities</w:t>
      </w:r>
      <w:r w:rsidRPr="00D75C96">
        <w:rPr>
          <w:rFonts w:ascii="Calibri" w:eastAsia="Georgia" w:hAnsi="Calibri" w:cs="Calibri"/>
          <w:sz w:val="22"/>
          <w:szCs w:val="22"/>
        </w:rPr>
        <w:t xml:space="preserve">. We will </w:t>
      </w:r>
      <w:r w:rsidR="00031173" w:rsidRPr="00D75C96">
        <w:rPr>
          <w:rFonts w:ascii="Calibri" w:eastAsia="Georgia" w:hAnsi="Calibri" w:cs="Calibri"/>
          <w:sz w:val="22"/>
          <w:szCs w:val="22"/>
        </w:rPr>
        <w:t xml:space="preserve">take detailed notes and </w:t>
      </w:r>
      <w:r w:rsidRPr="00D75C96">
        <w:rPr>
          <w:rFonts w:ascii="Calibri" w:eastAsia="Georgia" w:hAnsi="Calibri" w:cs="Calibri"/>
          <w:sz w:val="22"/>
          <w:szCs w:val="22"/>
        </w:rPr>
        <w:t xml:space="preserve">collect additional data for this study during these workshops, which will be written up in a research memo. These workshops will be hosted and facilitated by Dr. Rumore with support from Dr. Stoker and </w:t>
      </w:r>
      <w:r w:rsidR="00031173" w:rsidRPr="00D75C96">
        <w:rPr>
          <w:rFonts w:ascii="Calibri" w:eastAsia="Georgia" w:hAnsi="Calibri" w:cs="Calibri"/>
          <w:sz w:val="22"/>
          <w:szCs w:val="22"/>
        </w:rPr>
        <w:t>involved students</w:t>
      </w:r>
      <w:r w:rsidRPr="00D75C96">
        <w:rPr>
          <w:rFonts w:ascii="Calibri" w:eastAsia="Georgia" w:hAnsi="Calibri" w:cs="Calibri"/>
          <w:sz w:val="22"/>
          <w:szCs w:val="22"/>
        </w:rPr>
        <w:t>.</w:t>
      </w:r>
    </w:p>
    <w:p w14:paraId="66B0E1E3" w14:textId="0B4DDCBF" w:rsidR="008C2CEE" w:rsidRPr="00D75C96" w:rsidRDefault="008C2CEE" w:rsidP="00D66E20">
      <w:pPr>
        <w:spacing w:before="123" w:line="240" w:lineRule="auto"/>
        <w:ind w:left="0" w:right="464" w:hanging="2"/>
        <w:rPr>
          <w:rFonts w:ascii="Calibri" w:hAnsi="Calibri" w:cs="Calibri"/>
          <w:sz w:val="22"/>
          <w:szCs w:val="22"/>
        </w:rPr>
      </w:pPr>
      <w:r w:rsidRPr="00D75C96">
        <w:rPr>
          <w:rFonts w:ascii="Calibri" w:hAnsi="Calibri" w:cs="Calibri"/>
          <w:b/>
          <w:bCs/>
          <w:sz w:val="22"/>
          <w:szCs w:val="22"/>
        </w:rPr>
        <w:t xml:space="preserve">Task </w:t>
      </w:r>
      <w:r w:rsidR="002B73D0" w:rsidRPr="00D75C96">
        <w:rPr>
          <w:rFonts w:ascii="Calibri" w:hAnsi="Calibri" w:cs="Calibri"/>
          <w:b/>
          <w:bCs/>
          <w:sz w:val="22"/>
          <w:szCs w:val="22"/>
        </w:rPr>
        <w:t>5</w:t>
      </w:r>
      <w:r w:rsidRPr="00D75C96">
        <w:rPr>
          <w:rFonts w:ascii="Calibri" w:hAnsi="Calibri" w:cs="Calibri"/>
          <w:b/>
          <w:bCs/>
          <w:sz w:val="22"/>
          <w:szCs w:val="22"/>
        </w:rPr>
        <w:t xml:space="preserve">: </w:t>
      </w:r>
      <w:r w:rsidRPr="00D75C96">
        <w:rPr>
          <w:rFonts w:ascii="Calibri" w:hAnsi="Calibri" w:cs="Calibri"/>
          <w:b/>
          <w:bCs/>
          <w:position w:val="0"/>
          <w:sz w:val="22"/>
          <w:szCs w:val="22"/>
        </w:rPr>
        <w:t>Map commuter-sheds for case study communities (</w:t>
      </w:r>
      <w:r w:rsidRPr="00D75C96">
        <w:rPr>
          <w:rFonts w:ascii="Calibri" w:hAnsi="Calibri" w:cs="Calibri"/>
          <w:b/>
          <w:bCs/>
          <w:sz w:val="22"/>
          <w:szCs w:val="22"/>
        </w:rPr>
        <w:t>November</w:t>
      </w:r>
      <w:r w:rsidRPr="00D75C96">
        <w:rPr>
          <w:rFonts w:ascii="Calibri" w:hAnsi="Calibri" w:cs="Calibri"/>
          <w:b/>
          <w:bCs/>
          <w:position w:val="0"/>
          <w:sz w:val="22"/>
          <w:szCs w:val="22"/>
        </w:rPr>
        <w:t>—</w:t>
      </w:r>
      <w:r w:rsidRPr="00D75C96">
        <w:rPr>
          <w:rFonts w:ascii="Calibri" w:hAnsi="Calibri" w:cs="Calibri"/>
          <w:b/>
          <w:bCs/>
          <w:sz w:val="22"/>
          <w:szCs w:val="22"/>
        </w:rPr>
        <w:t>December</w:t>
      </w:r>
      <w:r w:rsidR="00484BD6" w:rsidRPr="00D75C96">
        <w:rPr>
          <w:rFonts w:ascii="Calibri" w:hAnsi="Calibri" w:cs="Calibri"/>
          <w:b/>
          <w:bCs/>
          <w:sz w:val="22"/>
          <w:szCs w:val="22"/>
        </w:rPr>
        <w:t xml:space="preserve"> 2021</w:t>
      </w:r>
      <w:r w:rsidRPr="00D75C96">
        <w:rPr>
          <w:rFonts w:ascii="Calibri" w:hAnsi="Calibri" w:cs="Calibri"/>
          <w:b/>
          <w:bCs/>
          <w:position w:val="0"/>
          <w:sz w:val="22"/>
          <w:szCs w:val="22"/>
        </w:rPr>
        <w:t>):</w:t>
      </w:r>
      <w:r w:rsidRPr="00D75C96">
        <w:rPr>
          <w:rFonts w:ascii="Calibri" w:hAnsi="Calibri" w:cs="Calibri"/>
          <w:position w:val="0"/>
          <w:sz w:val="22"/>
          <w:szCs w:val="22"/>
        </w:rPr>
        <w:t xml:space="preserve"> </w:t>
      </w:r>
      <w:r w:rsidR="00D66E20" w:rsidRPr="00D75C96">
        <w:rPr>
          <w:rFonts w:ascii="Calibri" w:hAnsi="Calibri" w:cs="Calibri"/>
          <w:position w:val="0"/>
          <w:sz w:val="22"/>
          <w:szCs w:val="22"/>
        </w:rPr>
        <w:t xml:space="preserve">We </w:t>
      </w:r>
      <w:r w:rsidRPr="00D75C96">
        <w:rPr>
          <w:rFonts w:ascii="Calibri" w:hAnsi="Calibri" w:cs="Calibri"/>
          <w:position w:val="0"/>
          <w:sz w:val="22"/>
          <w:szCs w:val="22"/>
        </w:rPr>
        <w:t xml:space="preserve">will </w:t>
      </w:r>
      <w:r w:rsidRPr="00D75C96">
        <w:rPr>
          <w:rFonts w:ascii="Calibri" w:hAnsi="Calibri" w:cs="Calibri"/>
          <w:sz w:val="22"/>
          <w:szCs w:val="22"/>
        </w:rPr>
        <w:t xml:space="preserve">analyze and </w:t>
      </w:r>
      <w:r w:rsidRPr="00D75C96">
        <w:rPr>
          <w:rFonts w:ascii="Calibri" w:hAnsi="Calibri" w:cs="Calibri"/>
          <w:position w:val="0"/>
          <w:sz w:val="22"/>
          <w:szCs w:val="22"/>
        </w:rPr>
        <w:t xml:space="preserve">map </w:t>
      </w:r>
      <w:r w:rsidR="00D66E20" w:rsidRPr="00D75C96">
        <w:rPr>
          <w:rFonts w:ascii="Calibri" w:hAnsi="Calibri" w:cs="Calibri"/>
          <w:position w:val="0"/>
          <w:sz w:val="22"/>
          <w:szCs w:val="22"/>
        </w:rPr>
        <w:t xml:space="preserve">the </w:t>
      </w:r>
      <w:r w:rsidRPr="00D75C96">
        <w:rPr>
          <w:rFonts w:ascii="Calibri" w:hAnsi="Calibri" w:cs="Calibri"/>
          <w:position w:val="0"/>
          <w:sz w:val="22"/>
          <w:szCs w:val="22"/>
        </w:rPr>
        <w:t>commuter-shed</w:t>
      </w:r>
      <w:r w:rsidR="00D66E20" w:rsidRPr="00D75C96">
        <w:rPr>
          <w:rFonts w:ascii="Calibri" w:hAnsi="Calibri" w:cs="Calibri"/>
          <w:position w:val="0"/>
          <w:sz w:val="22"/>
          <w:szCs w:val="22"/>
        </w:rPr>
        <w:t xml:space="preserve"> of each of our case study communities </w:t>
      </w:r>
      <w:r w:rsidRPr="00D75C96">
        <w:rPr>
          <w:rFonts w:ascii="Calibri" w:hAnsi="Calibri" w:cs="Calibri"/>
          <w:position w:val="0"/>
          <w:sz w:val="22"/>
          <w:szCs w:val="22"/>
        </w:rPr>
        <w:t xml:space="preserve">using the LODES data approach described above. </w:t>
      </w:r>
      <w:r w:rsidR="00B300B6" w:rsidRPr="00D75C96">
        <w:rPr>
          <w:rFonts w:ascii="Calibri" w:hAnsi="Calibri" w:cs="Calibri"/>
          <w:position w:val="0"/>
          <w:sz w:val="22"/>
          <w:szCs w:val="22"/>
        </w:rPr>
        <w:t xml:space="preserve">As </w:t>
      </w:r>
      <w:r w:rsidR="005A60A0" w:rsidRPr="00D75C96">
        <w:rPr>
          <w:rFonts w:ascii="Calibri" w:hAnsi="Calibri" w:cs="Calibri"/>
          <w:position w:val="0"/>
          <w:sz w:val="22"/>
          <w:szCs w:val="22"/>
        </w:rPr>
        <w:t xml:space="preserve">also </w:t>
      </w:r>
      <w:r w:rsidR="00B300B6" w:rsidRPr="00D75C96">
        <w:rPr>
          <w:rFonts w:ascii="Calibri" w:hAnsi="Calibri" w:cs="Calibri"/>
          <w:position w:val="0"/>
          <w:sz w:val="22"/>
          <w:szCs w:val="22"/>
        </w:rPr>
        <w:t xml:space="preserve">described above, we will vet and discuss these maps with case study community partners. </w:t>
      </w:r>
      <w:r w:rsidRPr="00D75C96">
        <w:rPr>
          <w:rFonts w:ascii="Calibri" w:hAnsi="Calibri" w:cs="Calibri"/>
          <w:sz w:val="22"/>
          <w:szCs w:val="22"/>
        </w:rPr>
        <w:t xml:space="preserve">Maps for each community will be made publicly available. </w:t>
      </w:r>
      <w:r w:rsidR="00B300B6" w:rsidRPr="00D75C96">
        <w:rPr>
          <w:rFonts w:ascii="Calibri" w:hAnsi="Calibri" w:cs="Calibri"/>
          <w:sz w:val="22"/>
          <w:szCs w:val="22"/>
        </w:rPr>
        <w:t>We will use what we learn through this project to produce</w:t>
      </w:r>
      <w:r w:rsidR="00814EAD" w:rsidRPr="00D75C96">
        <w:rPr>
          <w:rFonts w:ascii="Calibri" w:hAnsi="Calibri" w:cs="Calibri"/>
          <w:sz w:val="22"/>
          <w:szCs w:val="22"/>
        </w:rPr>
        <w:t xml:space="preserve"> </w:t>
      </w:r>
      <w:r w:rsidR="00D66E20" w:rsidRPr="00D75C96">
        <w:rPr>
          <w:rFonts w:ascii="Calibri" w:hAnsi="Calibri" w:cs="Calibri"/>
          <w:sz w:val="22"/>
          <w:szCs w:val="22"/>
        </w:rPr>
        <w:t xml:space="preserve">tools </w:t>
      </w:r>
      <w:r w:rsidR="00814EAD" w:rsidRPr="00D75C96">
        <w:rPr>
          <w:rFonts w:ascii="Calibri" w:hAnsi="Calibri" w:cs="Calibri"/>
          <w:position w:val="0"/>
          <w:sz w:val="22"/>
          <w:szCs w:val="22"/>
        </w:rPr>
        <w:t xml:space="preserve">that other communities can use to </w:t>
      </w:r>
      <w:r w:rsidR="00D66E20" w:rsidRPr="00D75C96">
        <w:rPr>
          <w:rFonts w:ascii="Calibri" w:hAnsi="Calibri" w:cs="Calibri"/>
          <w:position w:val="0"/>
          <w:sz w:val="22"/>
          <w:szCs w:val="22"/>
        </w:rPr>
        <w:t>understand</w:t>
      </w:r>
      <w:r w:rsidR="00814EAD" w:rsidRPr="00D75C96">
        <w:rPr>
          <w:rFonts w:ascii="Calibri" w:hAnsi="Calibri" w:cs="Calibri"/>
          <w:position w:val="0"/>
          <w:sz w:val="22"/>
          <w:szCs w:val="22"/>
        </w:rPr>
        <w:t xml:space="preserve"> and visualize</w:t>
      </w:r>
      <w:r w:rsidR="00004668" w:rsidRPr="00D75C96">
        <w:rPr>
          <w:rFonts w:ascii="Calibri" w:hAnsi="Calibri" w:cs="Calibri"/>
          <w:position w:val="0"/>
          <w:sz w:val="22"/>
          <w:szCs w:val="22"/>
        </w:rPr>
        <w:t xml:space="preserve"> their</w:t>
      </w:r>
      <w:r w:rsidR="00814EAD" w:rsidRPr="00D75C96">
        <w:rPr>
          <w:rFonts w:ascii="Calibri" w:hAnsi="Calibri" w:cs="Calibri"/>
          <w:sz w:val="22"/>
          <w:szCs w:val="22"/>
        </w:rPr>
        <w:t xml:space="preserve"> commuter</w:t>
      </w:r>
      <w:r w:rsidR="00004668" w:rsidRPr="00D75C96">
        <w:rPr>
          <w:rFonts w:ascii="Calibri" w:hAnsi="Calibri" w:cs="Calibri"/>
          <w:position w:val="0"/>
          <w:sz w:val="22"/>
          <w:szCs w:val="22"/>
        </w:rPr>
        <w:t>-sheds</w:t>
      </w:r>
      <w:r w:rsidR="00814EAD" w:rsidRPr="00D75C96">
        <w:rPr>
          <w:rFonts w:ascii="Calibri" w:hAnsi="Calibri" w:cs="Calibri"/>
          <w:sz w:val="22"/>
          <w:szCs w:val="22"/>
        </w:rPr>
        <w:t>; we will share th</w:t>
      </w:r>
      <w:r w:rsidR="00D66E20" w:rsidRPr="00D75C96">
        <w:rPr>
          <w:rFonts w:ascii="Calibri" w:hAnsi="Calibri" w:cs="Calibri"/>
          <w:sz w:val="22"/>
          <w:szCs w:val="22"/>
        </w:rPr>
        <w:t>ese</w:t>
      </w:r>
      <w:r w:rsidR="00814EAD" w:rsidRPr="00D75C96">
        <w:rPr>
          <w:rFonts w:ascii="Calibri" w:hAnsi="Calibri" w:cs="Calibri"/>
          <w:sz w:val="22"/>
          <w:szCs w:val="22"/>
        </w:rPr>
        <w:t xml:space="preserve"> tool</w:t>
      </w:r>
      <w:r w:rsidR="00D66E20" w:rsidRPr="00D75C96">
        <w:rPr>
          <w:rFonts w:ascii="Calibri" w:hAnsi="Calibri" w:cs="Calibri"/>
          <w:sz w:val="22"/>
          <w:szCs w:val="22"/>
        </w:rPr>
        <w:t>s</w:t>
      </w:r>
      <w:r w:rsidR="00814EAD" w:rsidRPr="00D75C96">
        <w:rPr>
          <w:rFonts w:ascii="Calibri" w:hAnsi="Calibri" w:cs="Calibri"/>
          <w:sz w:val="22"/>
          <w:szCs w:val="22"/>
        </w:rPr>
        <w:t xml:space="preserve"> via the </w:t>
      </w:r>
      <w:r w:rsidR="00814EAD" w:rsidRPr="00D75C96">
        <w:rPr>
          <w:rFonts w:ascii="Calibri" w:hAnsi="Calibri" w:cs="Calibri"/>
          <w:position w:val="0"/>
          <w:sz w:val="22"/>
          <w:szCs w:val="22"/>
        </w:rPr>
        <w:t>GNAR Initiative toolkit.</w:t>
      </w:r>
      <w:r w:rsidR="00B300B6" w:rsidRPr="00D75C96">
        <w:rPr>
          <w:rFonts w:ascii="Calibri" w:hAnsi="Calibri" w:cs="Calibri"/>
          <w:sz w:val="22"/>
          <w:szCs w:val="22"/>
        </w:rPr>
        <w:t xml:space="preserve"> </w:t>
      </w:r>
      <w:r w:rsidRPr="00D75C96">
        <w:rPr>
          <w:rFonts w:ascii="Calibri" w:hAnsi="Calibri" w:cs="Calibri"/>
          <w:position w:val="0"/>
          <w:sz w:val="22"/>
          <w:szCs w:val="22"/>
        </w:rPr>
        <w:t xml:space="preserve">Dr. Stoker will lead this effort with support from </w:t>
      </w:r>
      <w:r w:rsidR="00031173" w:rsidRPr="00D75C96">
        <w:rPr>
          <w:rFonts w:ascii="Calibri" w:hAnsi="Calibri" w:cs="Calibri"/>
          <w:position w:val="0"/>
          <w:sz w:val="22"/>
          <w:szCs w:val="22"/>
        </w:rPr>
        <w:t>the graduate research assistant under his supervision</w:t>
      </w:r>
      <w:r w:rsidRPr="00D75C96">
        <w:rPr>
          <w:rFonts w:ascii="Calibri" w:hAnsi="Calibri" w:cs="Calibri"/>
          <w:sz w:val="22"/>
          <w:szCs w:val="22"/>
        </w:rPr>
        <w:t>.</w:t>
      </w:r>
    </w:p>
    <w:p w14:paraId="2AD6B994" w14:textId="2AE9C2C5" w:rsidR="008C2CEE" w:rsidRPr="00D75C96" w:rsidRDefault="008C2CEE" w:rsidP="003266D3">
      <w:pPr>
        <w:spacing w:before="123" w:line="240" w:lineRule="auto"/>
        <w:ind w:left="0" w:right="464" w:hanging="2"/>
        <w:rPr>
          <w:rFonts w:ascii="Calibri" w:hAnsi="Calibri" w:cs="Calibri"/>
          <w:position w:val="0"/>
          <w:sz w:val="22"/>
          <w:szCs w:val="22"/>
        </w:rPr>
      </w:pPr>
      <w:r w:rsidRPr="00D75C96">
        <w:rPr>
          <w:rFonts w:ascii="Calibri" w:hAnsi="Calibri" w:cs="Calibri"/>
          <w:b/>
          <w:bCs/>
          <w:sz w:val="22"/>
          <w:szCs w:val="22"/>
        </w:rPr>
        <w:lastRenderedPageBreak/>
        <w:t xml:space="preserve">Task </w:t>
      </w:r>
      <w:r w:rsidR="002B73D0" w:rsidRPr="00D75C96">
        <w:rPr>
          <w:rFonts w:ascii="Calibri" w:hAnsi="Calibri" w:cs="Calibri"/>
          <w:b/>
          <w:bCs/>
          <w:sz w:val="22"/>
          <w:szCs w:val="22"/>
        </w:rPr>
        <w:t>6</w:t>
      </w:r>
      <w:r w:rsidRPr="00D75C96">
        <w:rPr>
          <w:rFonts w:ascii="Calibri" w:hAnsi="Calibri" w:cs="Calibri"/>
          <w:b/>
          <w:bCs/>
          <w:sz w:val="22"/>
          <w:szCs w:val="22"/>
        </w:rPr>
        <w:t>: Develop guidelines for and pilot case studies via the GNAR Lab (</w:t>
      </w:r>
      <w:r w:rsidR="00FD1050" w:rsidRPr="00D75C96">
        <w:rPr>
          <w:rFonts w:ascii="Calibri" w:hAnsi="Calibri" w:cs="Calibri"/>
          <w:b/>
          <w:bCs/>
          <w:sz w:val="22"/>
          <w:szCs w:val="22"/>
        </w:rPr>
        <w:t>October</w:t>
      </w:r>
      <w:r w:rsidR="00696835" w:rsidRPr="00D75C96">
        <w:rPr>
          <w:rFonts w:ascii="Calibri" w:hAnsi="Calibri" w:cs="Calibri"/>
          <w:b/>
          <w:bCs/>
          <w:sz w:val="22"/>
          <w:szCs w:val="22"/>
        </w:rPr>
        <w:t xml:space="preserve"> </w:t>
      </w:r>
      <w:r w:rsidRPr="00D75C96">
        <w:rPr>
          <w:rFonts w:ascii="Calibri" w:hAnsi="Calibri" w:cs="Calibri"/>
          <w:b/>
          <w:bCs/>
          <w:sz w:val="22"/>
          <w:szCs w:val="22"/>
        </w:rPr>
        <w:t xml:space="preserve">2021—January 2022): </w:t>
      </w:r>
      <w:r w:rsidRPr="00D75C96">
        <w:rPr>
          <w:rFonts w:ascii="Calibri" w:hAnsi="Calibri" w:cs="Calibri"/>
          <w:position w:val="0"/>
          <w:sz w:val="22"/>
          <w:szCs w:val="22"/>
        </w:rPr>
        <w:t xml:space="preserve">This summer, Dr. Rumore is launching </w:t>
      </w:r>
      <w:r w:rsidR="00004668" w:rsidRPr="00D75C96">
        <w:rPr>
          <w:rFonts w:ascii="Calibri" w:hAnsi="Calibri" w:cs="Calibri"/>
          <w:position w:val="0"/>
          <w:sz w:val="22"/>
          <w:szCs w:val="22"/>
        </w:rPr>
        <w:t>a</w:t>
      </w:r>
      <w:r w:rsidRPr="00D75C96">
        <w:rPr>
          <w:rFonts w:ascii="Calibri" w:hAnsi="Calibri" w:cs="Calibri"/>
          <w:position w:val="0"/>
          <w:sz w:val="22"/>
          <w:szCs w:val="22"/>
        </w:rPr>
        <w:t xml:space="preserve"> </w:t>
      </w:r>
      <w:r w:rsidR="00004668" w:rsidRPr="00D75C96">
        <w:rPr>
          <w:rFonts w:ascii="Calibri" w:hAnsi="Calibri" w:cs="Calibri"/>
          <w:position w:val="0"/>
          <w:sz w:val="22"/>
          <w:szCs w:val="22"/>
        </w:rPr>
        <w:t>“</w:t>
      </w:r>
      <w:r w:rsidRPr="00D75C96">
        <w:rPr>
          <w:rFonts w:ascii="Calibri" w:hAnsi="Calibri" w:cs="Calibri"/>
          <w:position w:val="0"/>
          <w:sz w:val="22"/>
          <w:szCs w:val="22"/>
        </w:rPr>
        <w:t>GNAR Lab</w:t>
      </w:r>
      <w:r w:rsidR="00004668" w:rsidRPr="00D75C96">
        <w:rPr>
          <w:rFonts w:ascii="Calibri" w:hAnsi="Calibri" w:cs="Calibri"/>
          <w:position w:val="0"/>
          <w:sz w:val="22"/>
          <w:szCs w:val="22"/>
        </w:rPr>
        <w:t>”</w:t>
      </w:r>
      <w:r w:rsidRPr="00D75C96">
        <w:rPr>
          <w:rFonts w:ascii="Calibri" w:hAnsi="Calibri" w:cs="Calibri"/>
          <w:position w:val="0"/>
          <w:sz w:val="22"/>
          <w:szCs w:val="22"/>
        </w:rPr>
        <w:t xml:space="preserve"> to bring together </w:t>
      </w:r>
      <w:r w:rsidR="00FD1050" w:rsidRPr="00D75C96">
        <w:rPr>
          <w:rFonts w:ascii="Calibri" w:hAnsi="Calibri" w:cs="Calibri"/>
          <w:position w:val="0"/>
          <w:sz w:val="22"/>
          <w:szCs w:val="22"/>
        </w:rPr>
        <w:t xml:space="preserve">faculty and </w:t>
      </w:r>
      <w:r w:rsidRPr="00D75C96">
        <w:rPr>
          <w:rFonts w:ascii="Calibri" w:hAnsi="Calibri" w:cs="Calibri"/>
          <w:position w:val="0"/>
          <w:sz w:val="22"/>
          <w:szCs w:val="22"/>
        </w:rPr>
        <w:t xml:space="preserve">students from the University of Utah, University of Arizona, and </w:t>
      </w:r>
      <w:r w:rsidR="00696835" w:rsidRPr="00D75C96">
        <w:rPr>
          <w:rFonts w:ascii="Calibri" w:hAnsi="Calibri" w:cs="Calibri"/>
          <w:position w:val="0"/>
          <w:sz w:val="22"/>
          <w:szCs w:val="22"/>
        </w:rPr>
        <w:t xml:space="preserve">other </w:t>
      </w:r>
      <w:r w:rsidRPr="00D75C96">
        <w:rPr>
          <w:rFonts w:ascii="Calibri" w:hAnsi="Calibri" w:cs="Calibri"/>
          <w:position w:val="0"/>
          <w:sz w:val="22"/>
          <w:szCs w:val="22"/>
        </w:rPr>
        <w:t>institutions around the country who are interested in studying planning and transportation issues in western gateway communities. F</w:t>
      </w:r>
      <w:r w:rsidR="00004668" w:rsidRPr="00D75C96">
        <w:rPr>
          <w:rFonts w:ascii="Calibri" w:hAnsi="Calibri" w:cs="Calibri"/>
          <w:position w:val="0"/>
          <w:sz w:val="22"/>
          <w:szCs w:val="22"/>
        </w:rPr>
        <w:t>our</w:t>
      </w:r>
      <w:r w:rsidRPr="00D75C96">
        <w:rPr>
          <w:rFonts w:ascii="Calibri" w:hAnsi="Calibri" w:cs="Calibri"/>
          <w:position w:val="0"/>
          <w:sz w:val="22"/>
          <w:szCs w:val="22"/>
        </w:rPr>
        <w:t xml:space="preserve"> graduate students from the U</w:t>
      </w:r>
      <w:r w:rsidR="00C5633D" w:rsidRPr="00D75C96">
        <w:rPr>
          <w:rFonts w:ascii="Calibri" w:hAnsi="Calibri" w:cs="Calibri"/>
          <w:position w:val="0"/>
          <w:sz w:val="22"/>
          <w:szCs w:val="22"/>
        </w:rPr>
        <w:t xml:space="preserve">niversity </w:t>
      </w:r>
      <w:r w:rsidRPr="00D75C96">
        <w:rPr>
          <w:rFonts w:ascii="Calibri" w:hAnsi="Calibri" w:cs="Calibri"/>
          <w:position w:val="0"/>
          <w:sz w:val="22"/>
          <w:szCs w:val="22"/>
        </w:rPr>
        <w:t>of</w:t>
      </w:r>
      <w:r w:rsidR="00C5633D" w:rsidRPr="00D75C96">
        <w:rPr>
          <w:rFonts w:ascii="Calibri" w:hAnsi="Calibri" w:cs="Calibri"/>
          <w:position w:val="0"/>
          <w:sz w:val="22"/>
          <w:szCs w:val="22"/>
        </w:rPr>
        <w:t xml:space="preserve"> </w:t>
      </w:r>
      <w:r w:rsidRPr="00D75C96">
        <w:rPr>
          <w:rFonts w:ascii="Calibri" w:hAnsi="Calibri" w:cs="Calibri"/>
          <w:position w:val="0"/>
          <w:sz w:val="22"/>
          <w:szCs w:val="22"/>
        </w:rPr>
        <w:t>U</w:t>
      </w:r>
      <w:r w:rsidR="00C5633D" w:rsidRPr="00D75C96">
        <w:rPr>
          <w:rFonts w:ascii="Calibri" w:hAnsi="Calibri" w:cs="Calibri"/>
          <w:position w:val="0"/>
          <w:sz w:val="22"/>
          <w:szCs w:val="22"/>
        </w:rPr>
        <w:t>tah</w:t>
      </w:r>
      <w:r w:rsidRPr="00D75C96">
        <w:rPr>
          <w:rFonts w:ascii="Calibri" w:hAnsi="Calibri" w:cs="Calibri"/>
          <w:position w:val="0"/>
          <w:sz w:val="22"/>
          <w:szCs w:val="22"/>
        </w:rPr>
        <w:t xml:space="preserve">, Montana State University, and Harvard University have already </w:t>
      </w:r>
      <w:r w:rsidR="00963030">
        <w:rPr>
          <w:rFonts w:ascii="Calibri" w:hAnsi="Calibri" w:cs="Calibri"/>
          <w:position w:val="0"/>
          <w:sz w:val="22"/>
          <w:szCs w:val="22"/>
        </w:rPr>
        <w:t>expressed an interest in joining the</w:t>
      </w:r>
      <w:r w:rsidRPr="00D75C96">
        <w:rPr>
          <w:rFonts w:ascii="Calibri" w:hAnsi="Calibri" w:cs="Calibri"/>
          <w:position w:val="0"/>
          <w:sz w:val="22"/>
          <w:szCs w:val="22"/>
        </w:rPr>
        <w:t xml:space="preserve"> lab to work on </w:t>
      </w:r>
      <w:r w:rsidR="00D66E20" w:rsidRPr="00D75C96">
        <w:rPr>
          <w:rFonts w:ascii="Calibri" w:hAnsi="Calibri" w:cs="Calibri"/>
          <w:position w:val="0"/>
          <w:sz w:val="22"/>
          <w:szCs w:val="22"/>
        </w:rPr>
        <w:t>GNAR Initiative</w:t>
      </w:r>
      <w:r w:rsidR="00696835" w:rsidRPr="00D75C96">
        <w:rPr>
          <w:rFonts w:ascii="Calibri" w:hAnsi="Calibri" w:cs="Calibri"/>
          <w:position w:val="0"/>
          <w:sz w:val="22"/>
          <w:szCs w:val="22"/>
        </w:rPr>
        <w:t xml:space="preserve"> </w:t>
      </w:r>
      <w:r w:rsidR="003266D3" w:rsidRPr="00D75C96">
        <w:rPr>
          <w:rFonts w:ascii="Calibri" w:hAnsi="Calibri" w:cs="Calibri"/>
          <w:position w:val="0"/>
          <w:sz w:val="22"/>
          <w:szCs w:val="22"/>
        </w:rPr>
        <w:t>research</w:t>
      </w:r>
      <w:r w:rsidRPr="00D75C96">
        <w:rPr>
          <w:rFonts w:ascii="Calibri" w:hAnsi="Calibri" w:cs="Calibri"/>
          <w:position w:val="0"/>
          <w:sz w:val="22"/>
          <w:szCs w:val="22"/>
        </w:rPr>
        <w:t xml:space="preserve"> with Dr. Rumore </w:t>
      </w:r>
      <w:r w:rsidR="00696835" w:rsidRPr="00D75C96">
        <w:rPr>
          <w:rFonts w:ascii="Calibri" w:hAnsi="Calibri" w:cs="Calibri"/>
          <w:position w:val="0"/>
          <w:sz w:val="22"/>
          <w:szCs w:val="22"/>
        </w:rPr>
        <w:t>and Dr. Stoke</w:t>
      </w:r>
      <w:r w:rsidR="00027C1C" w:rsidRPr="00D75C96">
        <w:rPr>
          <w:rFonts w:ascii="Calibri" w:hAnsi="Calibri" w:cs="Calibri"/>
          <w:position w:val="0"/>
          <w:sz w:val="22"/>
          <w:szCs w:val="22"/>
        </w:rPr>
        <w:t xml:space="preserve">r; </w:t>
      </w:r>
      <w:r w:rsidR="00963030">
        <w:rPr>
          <w:rFonts w:ascii="Calibri" w:hAnsi="Calibri" w:cs="Calibri"/>
          <w:position w:val="0"/>
          <w:sz w:val="22"/>
          <w:szCs w:val="22"/>
        </w:rPr>
        <w:t>some of these students</w:t>
      </w:r>
      <w:r w:rsidR="00027C1C" w:rsidRPr="00D75C96">
        <w:rPr>
          <w:rFonts w:ascii="Calibri" w:hAnsi="Calibri" w:cs="Calibri"/>
          <w:position w:val="0"/>
          <w:sz w:val="22"/>
          <w:szCs w:val="22"/>
        </w:rPr>
        <w:t xml:space="preserve"> are currently working on Task 1</w:t>
      </w:r>
      <w:r w:rsidRPr="00D75C96">
        <w:rPr>
          <w:rFonts w:ascii="Calibri" w:hAnsi="Calibri" w:cs="Calibri"/>
          <w:position w:val="0"/>
          <w:sz w:val="22"/>
          <w:szCs w:val="22"/>
        </w:rPr>
        <w:t>. These students will work with Dr. Rumore, Dr. Stoker, and other interested faculty and student partners</w:t>
      </w:r>
      <w:r w:rsidR="003266D3" w:rsidRPr="00D75C96">
        <w:rPr>
          <w:rFonts w:ascii="Calibri" w:hAnsi="Calibri" w:cs="Calibri"/>
          <w:position w:val="0"/>
          <w:sz w:val="22"/>
          <w:szCs w:val="22"/>
        </w:rPr>
        <w:t xml:space="preserve">, including our partners at Community </w:t>
      </w:r>
      <w:r w:rsidR="00716032" w:rsidRPr="00D75C96">
        <w:rPr>
          <w:rFonts w:ascii="Calibri" w:hAnsi="Calibri" w:cs="Calibri"/>
          <w:position w:val="0"/>
          <w:sz w:val="22"/>
          <w:szCs w:val="22"/>
        </w:rPr>
        <w:t>Builders</w:t>
      </w:r>
      <w:r w:rsidR="003266D3" w:rsidRPr="00D75C96">
        <w:rPr>
          <w:rFonts w:ascii="Calibri" w:hAnsi="Calibri" w:cs="Calibri"/>
          <w:position w:val="0"/>
          <w:sz w:val="22"/>
          <w:szCs w:val="22"/>
        </w:rPr>
        <w:t>,</w:t>
      </w:r>
      <w:r w:rsidRPr="00D75C96">
        <w:rPr>
          <w:rFonts w:ascii="Calibri" w:hAnsi="Calibri" w:cs="Calibri"/>
          <w:position w:val="0"/>
          <w:sz w:val="22"/>
          <w:szCs w:val="22"/>
        </w:rPr>
        <w:t xml:space="preserve"> to develop guidelines for and pilot the case study approach for this study during fall 2021.</w:t>
      </w:r>
      <w:r w:rsidR="00696835" w:rsidRPr="00D75C96">
        <w:rPr>
          <w:rFonts w:ascii="Calibri" w:hAnsi="Calibri" w:cs="Calibri"/>
          <w:position w:val="0"/>
          <w:sz w:val="22"/>
          <w:szCs w:val="22"/>
        </w:rPr>
        <w:t xml:space="preserve"> Dr. Rumore and Dr. Stoker will work with GNAR Lab students to develop the semi-structured interview protocol and other case study methodology guidelines. The students will collect and analyze data for the first round of case studies, with support from Dr. Rumore and Dr. Stoker. Under the supervision of Dr. Rumore and Dr. Stoker, </w:t>
      </w:r>
      <w:r w:rsidR="003266D3" w:rsidRPr="00D75C96">
        <w:rPr>
          <w:rFonts w:ascii="Calibri" w:hAnsi="Calibri" w:cs="Calibri"/>
          <w:position w:val="0"/>
          <w:sz w:val="22"/>
          <w:szCs w:val="22"/>
        </w:rPr>
        <w:t xml:space="preserve">and with support from partners at Community Builders, </w:t>
      </w:r>
      <w:r w:rsidR="00696835" w:rsidRPr="00D75C96">
        <w:rPr>
          <w:rFonts w:ascii="Calibri" w:hAnsi="Calibri" w:cs="Calibri"/>
          <w:position w:val="0"/>
          <w:sz w:val="22"/>
          <w:szCs w:val="22"/>
        </w:rPr>
        <w:t xml:space="preserve">these students will also </w:t>
      </w:r>
      <w:r w:rsidR="00031173" w:rsidRPr="00D75C96">
        <w:rPr>
          <w:rFonts w:ascii="Calibri" w:hAnsi="Calibri" w:cs="Calibri"/>
          <w:position w:val="0"/>
          <w:sz w:val="22"/>
          <w:szCs w:val="22"/>
        </w:rPr>
        <w:t>develop</w:t>
      </w:r>
      <w:r w:rsidR="00696835" w:rsidRPr="00D75C96">
        <w:rPr>
          <w:rFonts w:ascii="Calibri" w:hAnsi="Calibri" w:cs="Calibri"/>
          <w:position w:val="0"/>
          <w:sz w:val="22"/>
          <w:szCs w:val="22"/>
        </w:rPr>
        <w:t xml:space="preserve"> a template for written case studies. Each of these four students will complete</w:t>
      </w:r>
      <w:r w:rsidR="00031173" w:rsidRPr="00D75C96">
        <w:rPr>
          <w:rFonts w:ascii="Calibri" w:hAnsi="Calibri" w:cs="Calibri"/>
          <w:position w:val="0"/>
          <w:sz w:val="22"/>
          <w:szCs w:val="22"/>
        </w:rPr>
        <w:t xml:space="preserve"> at least</w:t>
      </w:r>
      <w:r w:rsidR="00696835" w:rsidRPr="00D75C96">
        <w:rPr>
          <w:rFonts w:ascii="Calibri" w:hAnsi="Calibri" w:cs="Calibri"/>
          <w:position w:val="0"/>
          <w:sz w:val="22"/>
          <w:szCs w:val="22"/>
        </w:rPr>
        <w:t xml:space="preserve"> one</w:t>
      </w:r>
      <w:r w:rsidR="003C3679" w:rsidRPr="00D75C96">
        <w:rPr>
          <w:rFonts w:ascii="Calibri" w:hAnsi="Calibri" w:cs="Calibri"/>
          <w:position w:val="0"/>
          <w:sz w:val="22"/>
          <w:szCs w:val="22"/>
        </w:rPr>
        <w:t xml:space="preserve"> </w:t>
      </w:r>
      <w:r w:rsidR="00696835" w:rsidRPr="00D75C96">
        <w:rPr>
          <w:rFonts w:ascii="Calibri" w:hAnsi="Calibri" w:cs="Calibri"/>
          <w:position w:val="0"/>
          <w:sz w:val="22"/>
          <w:szCs w:val="22"/>
        </w:rPr>
        <w:t>case stud</w:t>
      </w:r>
      <w:r w:rsidR="00031173" w:rsidRPr="00D75C96">
        <w:rPr>
          <w:rFonts w:ascii="Calibri" w:hAnsi="Calibri" w:cs="Calibri"/>
          <w:position w:val="0"/>
          <w:sz w:val="22"/>
          <w:szCs w:val="22"/>
        </w:rPr>
        <w:t>y</w:t>
      </w:r>
      <w:r w:rsidR="00696835" w:rsidRPr="00D75C96">
        <w:rPr>
          <w:rFonts w:ascii="Calibri" w:hAnsi="Calibri" w:cs="Calibri"/>
          <w:position w:val="0"/>
          <w:sz w:val="22"/>
          <w:szCs w:val="22"/>
        </w:rPr>
        <w:t xml:space="preserve"> as part of this project</w:t>
      </w:r>
      <w:r w:rsidR="00027C1C" w:rsidRPr="00D75C96">
        <w:rPr>
          <w:rFonts w:ascii="Calibri" w:hAnsi="Calibri" w:cs="Calibri"/>
          <w:position w:val="0"/>
          <w:sz w:val="22"/>
          <w:szCs w:val="22"/>
        </w:rPr>
        <w:t>, which will also</w:t>
      </w:r>
      <w:r w:rsidR="00696835" w:rsidRPr="00D75C96">
        <w:rPr>
          <w:rFonts w:ascii="Calibri" w:hAnsi="Calibri" w:cs="Calibri"/>
          <w:position w:val="0"/>
          <w:sz w:val="22"/>
          <w:szCs w:val="22"/>
        </w:rPr>
        <w:t xml:space="preserve"> fulfill their thesis requirements at their respective institutions</w:t>
      </w:r>
      <w:r w:rsidR="00C958B9" w:rsidRPr="00D75C96">
        <w:rPr>
          <w:rFonts w:ascii="Calibri" w:hAnsi="Calibri" w:cs="Calibri"/>
          <w:position w:val="0"/>
          <w:sz w:val="22"/>
          <w:szCs w:val="22"/>
        </w:rPr>
        <w:t>.</w:t>
      </w:r>
    </w:p>
    <w:p w14:paraId="0A9A1CC4" w14:textId="3F3672A2" w:rsidR="008C2CEE" w:rsidRPr="00D75C96" w:rsidRDefault="008C2CEE" w:rsidP="00893FE5">
      <w:pPr>
        <w:spacing w:before="123" w:line="240" w:lineRule="auto"/>
        <w:ind w:left="0" w:right="464" w:hanging="2"/>
        <w:rPr>
          <w:rFonts w:ascii="Calibri" w:hAnsi="Calibri" w:cs="Calibri"/>
          <w:sz w:val="22"/>
          <w:szCs w:val="22"/>
        </w:rPr>
      </w:pPr>
      <w:r w:rsidRPr="00D75C96">
        <w:rPr>
          <w:rFonts w:ascii="Calibri" w:hAnsi="Calibri" w:cs="Calibri"/>
          <w:b/>
          <w:bCs/>
          <w:sz w:val="22"/>
          <w:szCs w:val="22"/>
        </w:rPr>
        <w:t xml:space="preserve">Task </w:t>
      </w:r>
      <w:r w:rsidR="002B73D0" w:rsidRPr="00D75C96">
        <w:rPr>
          <w:rFonts w:ascii="Calibri" w:hAnsi="Calibri" w:cs="Calibri"/>
          <w:b/>
          <w:bCs/>
          <w:sz w:val="22"/>
          <w:szCs w:val="22"/>
        </w:rPr>
        <w:t>7</w:t>
      </w:r>
      <w:r w:rsidRPr="00D75C96">
        <w:rPr>
          <w:rFonts w:ascii="Calibri" w:hAnsi="Calibri" w:cs="Calibri"/>
          <w:b/>
          <w:bCs/>
          <w:sz w:val="22"/>
          <w:szCs w:val="22"/>
        </w:rPr>
        <w:t xml:space="preserve">: </w:t>
      </w:r>
      <w:r w:rsidR="00FE17EB" w:rsidRPr="00D75C96">
        <w:rPr>
          <w:rFonts w:ascii="Calibri" w:hAnsi="Calibri" w:cs="Calibri"/>
          <w:b/>
          <w:bCs/>
          <w:sz w:val="22"/>
          <w:szCs w:val="22"/>
        </w:rPr>
        <w:t>Conduct</w:t>
      </w:r>
      <w:r w:rsidRPr="00D75C96">
        <w:rPr>
          <w:rFonts w:ascii="Calibri" w:hAnsi="Calibri" w:cs="Calibri"/>
          <w:b/>
          <w:bCs/>
          <w:sz w:val="22"/>
          <w:szCs w:val="22"/>
        </w:rPr>
        <w:t xml:space="preserve"> Gateway Community Housing and Transportation Workshop</w:t>
      </w:r>
      <w:r w:rsidR="002F671E" w:rsidRPr="00D75C96">
        <w:rPr>
          <w:rFonts w:ascii="Calibri" w:hAnsi="Calibri" w:cs="Calibri"/>
          <w:b/>
          <w:bCs/>
          <w:sz w:val="22"/>
          <w:szCs w:val="22"/>
        </w:rPr>
        <w:t xml:space="preserve"> Course</w:t>
      </w:r>
      <w:r w:rsidRPr="00D75C96">
        <w:rPr>
          <w:rFonts w:ascii="Calibri" w:hAnsi="Calibri" w:cs="Calibri"/>
          <w:b/>
          <w:bCs/>
          <w:sz w:val="22"/>
          <w:szCs w:val="22"/>
        </w:rPr>
        <w:t xml:space="preserve"> (January—May 2022)</w:t>
      </w:r>
      <w:r w:rsidRPr="00D75C96">
        <w:rPr>
          <w:rFonts w:ascii="Calibri" w:hAnsi="Calibri" w:cs="Calibri"/>
          <w:sz w:val="22"/>
          <w:szCs w:val="22"/>
        </w:rPr>
        <w:t xml:space="preserve">: In spring 2022, Dr. Rumore will </w:t>
      </w:r>
      <w:r w:rsidR="002F671E" w:rsidRPr="00D75C96">
        <w:rPr>
          <w:rFonts w:ascii="Calibri" w:hAnsi="Calibri" w:cs="Calibri"/>
          <w:sz w:val="22"/>
          <w:szCs w:val="22"/>
        </w:rPr>
        <w:t>teach</w:t>
      </w:r>
      <w:r w:rsidRPr="00D75C96">
        <w:rPr>
          <w:rFonts w:ascii="Calibri" w:hAnsi="Calibri" w:cs="Calibri"/>
          <w:sz w:val="22"/>
          <w:szCs w:val="22"/>
        </w:rPr>
        <w:t xml:space="preserve"> an applied</w:t>
      </w:r>
      <w:r w:rsidR="001E659A" w:rsidRPr="00D75C96">
        <w:rPr>
          <w:rFonts w:ascii="Calibri" w:hAnsi="Calibri" w:cs="Calibri"/>
          <w:sz w:val="22"/>
          <w:szCs w:val="22"/>
        </w:rPr>
        <w:t>,</w:t>
      </w:r>
      <w:r w:rsidRPr="00D75C96">
        <w:rPr>
          <w:rFonts w:ascii="Calibri" w:hAnsi="Calibri" w:cs="Calibri"/>
          <w:sz w:val="22"/>
          <w:szCs w:val="22"/>
        </w:rPr>
        <w:t xml:space="preserve"> </w:t>
      </w:r>
      <w:r w:rsidR="00D279DD" w:rsidRPr="00D75C96">
        <w:rPr>
          <w:rFonts w:ascii="Calibri" w:hAnsi="Calibri" w:cs="Calibri"/>
          <w:sz w:val="22"/>
          <w:szCs w:val="22"/>
        </w:rPr>
        <w:t xml:space="preserve">for-credit </w:t>
      </w:r>
      <w:r w:rsidRPr="00D75C96">
        <w:rPr>
          <w:rFonts w:ascii="Calibri" w:hAnsi="Calibri" w:cs="Calibri"/>
          <w:sz w:val="22"/>
          <w:szCs w:val="22"/>
        </w:rPr>
        <w:t>workshop class for graduate students at the U</w:t>
      </w:r>
      <w:r w:rsidR="001E659A" w:rsidRPr="00D75C96">
        <w:rPr>
          <w:rFonts w:ascii="Calibri" w:hAnsi="Calibri" w:cs="Calibri"/>
          <w:sz w:val="22"/>
          <w:szCs w:val="22"/>
        </w:rPr>
        <w:t xml:space="preserve">niversity </w:t>
      </w:r>
      <w:r w:rsidRPr="00D75C96">
        <w:rPr>
          <w:rFonts w:ascii="Calibri" w:hAnsi="Calibri" w:cs="Calibri"/>
          <w:sz w:val="22"/>
          <w:szCs w:val="22"/>
        </w:rPr>
        <w:t>of</w:t>
      </w:r>
      <w:r w:rsidR="001E659A" w:rsidRPr="00D75C96">
        <w:rPr>
          <w:rFonts w:ascii="Calibri" w:hAnsi="Calibri" w:cs="Calibri"/>
          <w:sz w:val="22"/>
          <w:szCs w:val="22"/>
        </w:rPr>
        <w:t xml:space="preserve"> </w:t>
      </w:r>
      <w:r w:rsidRPr="00D75C96">
        <w:rPr>
          <w:rFonts w:ascii="Calibri" w:hAnsi="Calibri" w:cs="Calibri"/>
          <w:sz w:val="22"/>
          <w:szCs w:val="22"/>
        </w:rPr>
        <w:t>U</w:t>
      </w:r>
      <w:r w:rsidR="001E659A" w:rsidRPr="00D75C96">
        <w:rPr>
          <w:rFonts w:ascii="Calibri" w:hAnsi="Calibri" w:cs="Calibri"/>
          <w:sz w:val="22"/>
          <w:szCs w:val="22"/>
        </w:rPr>
        <w:t>tah</w:t>
      </w:r>
      <w:r w:rsidRPr="00D75C96">
        <w:rPr>
          <w:rFonts w:ascii="Calibri" w:hAnsi="Calibri" w:cs="Calibri"/>
          <w:sz w:val="22"/>
          <w:szCs w:val="22"/>
        </w:rPr>
        <w:t xml:space="preserve"> that are interested in planning and transportation issues in gateway communities. The for-credit course will sta</w:t>
      </w:r>
      <w:r w:rsidR="003C3679" w:rsidRPr="00D75C96">
        <w:rPr>
          <w:rFonts w:ascii="Calibri" w:hAnsi="Calibri" w:cs="Calibri"/>
          <w:sz w:val="22"/>
          <w:szCs w:val="22"/>
        </w:rPr>
        <w:t>rt</w:t>
      </w:r>
      <w:r w:rsidRPr="00D75C96">
        <w:rPr>
          <w:rFonts w:ascii="Calibri" w:hAnsi="Calibri" w:cs="Calibri"/>
          <w:sz w:val="22"/>
          <w:szCs w:val="22"/>
        </w:rPr>
        <w:t xml:space="preserve"> by providing students with a background in interconnected transportation, housing, and land use issues in western gateway communities, which will draw heavily on </w:t>
      </w:r>
      <w:r w:rsidR="00027C1C" w:rsidRPr="00D75C96">
        <w:rPr>
          <w:rFonts w:ascii="Calibri" w:hAnsi="Calibri" w:cs="Calibri"/>
          <w:sz w:val="22"/>
          <w:szCs w:val="22"/>
        </w:rPr>
        <w:t>our</w:t>
      </w:r>
      <w:r w:rsidR="00893FE5" w:rsidRPr="00D75C96">
        <w:rPr>
          <w:rFonts w:ascii="Calibri" w:hAnsi="Calibri" w:cs="Calibri"/>
          <w:sz w:val="22"/>
          <w:szCs w:val="22"/>
        </w:rPr>
        <w:t xml:space="preserve"> prior NITC-funded work, </w:t>
      </w:r>
      <w:r w:rsidRPr="00D75C96">
        <w:rPr>
          <w:rFonts w:ascii="Calibri" w:hAnsi="Calibri" w:cs="Calibri"/>
          <w:sz w:val="22"/>
          <w:szCs w:val="22"/>
        </w:rPr>
        <w:t>the findings of th</w:t>
      </w:r>
      <w:r w:rsidR="003C3679" w:rsidRPr="00D75C96">
        <w:rPr>
          <w:rFonts w:ascii="Calibri" w:hAnsi="Calibri" w:cs="Calibri"/>
          <w:sz w:val="22"/>
          <w:szCs w:val="22"/>
        </w:rPr>
        <w:t>e</w:t>
      </w:r>
      <w:r w:rsidRPr="00D75C96">
        <w:rPr>
          <w:rFonts w:ascii="Calibri" w:hAnsi="Calibri" w:cs="Calibri"/>
          <w:sz w:val="22"/>
          <w:szCs w:val="22"/>
        </w:rPr>
        <w:t xml:space="preserve"> survey</w:t>
      </w:r>
      <w:r w:rsidR="003C3679" w:rsidRPr="00D75C96">
        <w:rPr>
          <w:rFonts w:ascii="Calibri" w:hAnsi="Calibri" w:cs="Calibri"/>
          <w:sz w:val="22"/>
          <w:szCs w:val="22"/>
        </w:rPr>
        <w:t xml:space="preserve"> we will conduct in</w:t>
      </w:r>
      <w:r w:rsidR="00004668" w:rsidRPr="00D75C96">
        <w:rPr>
          <w:rFonts w:ascii="Calibri" w:hAnsi="Calibri" w:cs="Calibri"/>
          <w:sz w:val="22"/>
          <w:szCs w:val="22"/>
        </w:rPr>
        <w:t xml:space="preserve"> Task 2</w:t>
      </w:r>
      <w:r w:rsidR="003C3679" w:rsidRPr="00D75C96">
        <w:rPr>
          <w:rFonts w:ascii="Calibri" w:hAnsi="Calibri" w:cs="Calibri"/>
          <w:sz w:val="22"/>
          <w:szCs w:val="22"/>
        </w:rPr>
        <w:t xml:space="preserve">, and the GNAR Initiative’s ongoing engagement with gateway communities across the </w:t>
      </w:r>
      <w:r w:rsidR="001E659A" w:rsidRPr="00D75C96">
        <w:rPr>
          <w:rFonts w:ascii="Calibri" w:hAnsi="Calibri" w:cs="Calibri"/>
          <w:sz w:val="22"/>
          <w:szCs w:val="22"/>
        </w:rPr>
        <w:t>W</w:t>
      </w:r>
      <w:r w:rsidR="003C3679" w:rsidRPr="00D75C96">
        <w:rPr>
          <w:rFonts w:ascii="Calibri" w:hAnsi="Calibri" w:cs="Calibri"/>
          <w:sz w:val="22"/>
          <w:szCs w:val="22"/>
        </w:rPr>
        <w:t>est and nationally</w:t>
      </w:r>
      <w:r w:rsidRPr="00D75C96">
        <w:rPr>
          <w:rFonts w:ascii="Calibri" w:hAnsi="Calibri" w:cs="Calibri"/>
          <w:sz w:val="22"/>
          <w:szCs w:val="22"/>
        </w:rPr>
        <w:t>. Dr. Rumore</w:t>
      </w:r>
      <w:r w:rsidR="00FD1050" w:rsidRPr="00D75C96">
        <w:rPr>
          <w:rFonts w:ascii="Calibri" w:hAnsi="Calibri" w:cs="Calibri"/>
          <w:sz w:val="22"/>
          <w:szCs w:val="22"/>
        </w:rPr>
        <w:t xml:space="preserve"> </w:t>
      </w:r>
      <w:r w:rsidRPr="00D75C96">
        <w:rPr>
          <w:rFonts w:ascii="Calibri" w:hAnsi="Calibri" w:cs="Calibri"/>
          <w:sz w:val="22"/>
          <w:szCs w:val="22"/>
        </w:rPr>
        <w:t>will train students</w:t>
      </w:r>
      <w:r w:rsidR="00027C1C" w:rsidRPr="00D75C96">
        <w:rPr>
          <w:rFonts w:ascii="Calibri" w:hAnsi="Calibri" w:cs="Calibri"/>
          <w:sz w:val="22"/>
          <w:szCs w:val="22"/>
        </w:rPr>
        <w:t xml:space="preserve"> in the class</w:t>
      </w:r>
      <w:r w:rsidRPr="00D75C96">
        <w:rPr>
          <w:rFonts w:ascii="Calibri" w:hAnsi="Calibri" w:cs="Calibri"/>
          <w:sz w:val="22"/>
          <w:szCs w:val="22"/>
        </w:rPr>
        <w:t xml:space="preserve"> </w:t>
      </w:r>
      <w:r w:rsidR="00027C1C" w:rsidRPr="00D75C96">
        <w:rPr>
          <w:rFonts w:ascii="Calibri" w:hAnsi="Calibri" w:cs="Calibri"/>
          <w:sz w:val="22"/>
          <w:szCs w:val="22"/>
        </w:rPr>
        <w:t xml:space="preserve">on </w:t>
      </w:r>
      <w:r w:rsidRPr="00D75C96">
        <w:rPr>
          <w:rFonts w:ascii="Calibri" w:hAnsi="Calibri" w:cs="Calibri"/>
          <w:sz w:val="22"/>
          <w:szCs w:val="22"/>
        </w:rPr>
        <w:t>how to conduct case studies. Students will then conduct</w:t>
      </w:r>
      <w:r w:rsidR="003C3679" w:rsidRPr="00D75C96">
        <w:rPr>
          <w:rFonts w:ascii="Calibri" w:hAnsi="Calibri" w:cs="Calibri"/>
          <w:sz w:val="22"/>
          <w:szCs w:val="22"/>
        </w:rPr>
        <w:t xml:space="preserve"> a</w:t>
      </w:r>
      <w:r w:rsidRPr="00D75C96">
        <w:rPr>
          <w:rFonts w:ascii="Calibri" w:hAnsi="Calibri" w:cs="Calibri"/>
          <w:sz w:val="22"/>
          <w:szCs w:val="22"/>
        </w:rPr>
        <w:t xml:space="preserve"> case study for their course completion requirements, with oversight from Dr. Rumore and </w:t>
      </w:r>
      <w:r w:rsidR="00FD1050" w:rsidRPr="00D75C96">
        <w:rPr>
          <w:rFonts w:ascii="Calibri" w:hAnsi="Calibri" w:cs="Calibri"/>
          <w:sz w:val="22"/>
          <w:szCs w:val="22"/>
        </w:rPr>
        <w:t xml:space="preserve">assistance from </w:t>
      </w:r>
      <w:r w:rsidRPr="00D75C96">
        <w:rPr>
          <w:rFonts w:ascii="Calibri" w:hAnsi="Calibri" w:cs="Calibri"/>
          <w:sz w:val="22"/>
          <w:szCs w:val="22"/>
        </w:rPr>
        <w:t>GNAR Lab students</w:t>
      </w:r>
      <w:r w:rsidR="00FD1050" w:rsidRPr="00D75C96">
        <w:rPr>
          <w:rFonts w:ascii="Calibri" w:hAnsi="Calibri" w:cs="Calibri"/>
          <w:sz w:val="22"/>
          <w:szCs w:val="22"/>
        </w:rPr>
        <w:t xml:space="preserve"> and faculty</w:t>
      </w:r>
      <w:r w:rsidRPr="00D75C96">
        <w:rPr>
          <w:rFonts w:ascii="Calibri" w:hAnsi="Calibri" w:cs="Calibri"/>
          <w:sz w:val="22"/>
          <w:szCs w:val="22"/>
        </w:rPr>
        <w:t xml:space="preserve">. We anticipate engaging </w:t>
      </w:r>
      <w:r w:rsidR="00D279DD" w:rsidRPr="00D75C96">
        <w:rPr>
          <w:rFonts w:ascii="Calibri" w:hAnsi="Calibri" w:cs="Calibri"/>
          <w:sz w:val="22"/>
          <w:szCs w:val="22"/>
        </w:rPr>
        <w:t>6-12</w:t>
      </w:r>
      <w:r w:rsidRPr="00D75C96">
        <w:rPr>
          <w:rFonts w:ascii="Calibri" w:hAnsi="Calibri" w:cs="Calibri"/>
          <w:sz w:val="22"/>
          <w:szCs w:val="22"/>
        </w:rPr>
        <w:t xml:space="preserve"> graduate students via this spring course. Students will </w:t>
      </w:r>
      <w:r w:rsidR="00D279DD" w:rsidRPr="00D75C96">
        <w:rPr>
          <w:rFonts w:ascii="Calibri" w:hAnsi="Calibri" w:cs="Calibri"/>
          <w:sz w:val="22"/>
          <w:szCs w:val="22"/>
        </w:rPr>
        <w:t xml:space="preserve">work on case studies in </w:t>
      </w:r>
      <w:r w:rsidRPr="00D75C96">
        <w:rPr>
          <w:rFonts w:ascii="Calibri" w:hAnsi="Calibri" w:cs="Calibri"/>
          <w:sz w:val="22"/>
          <w:szCs w:val="22"/>
        </w:rPr>
        <w:t xml:space="preserve">small teams. </w:t>
      </w:r>
      <w:r w:rsidR="003C3679" w:rsidRPr="00D75C96">
        <w:rPr>
          <w:rFonts w:ascii="Calibri" w:hAnsi="Calibri" w:cs="Calibri"/>
          <w:sz w:val="22"/>
          <w:szCs w:val="22"/>
        </w:rPr>
        <w:t xml:space="preserve">We have budgeted </w:t>
      </w:r>
      <w:r w:rsidR="00027C1C" w:rsidRPr="00D75C96">
        <w:rPr>
          <w:rFonts w:ascii="Calibri" w:hAnsi="Calibri" w:cs="Calibri"/>
          <w:sz w:val="22"/>
          <w:szCs w:val="22"/>
        </w:rPr>
        <w:t>a</w:t>
      </w:r>
      <w:r w:rsidR="003C3679" w:rsidRPr="00D75C96">
        <w:rPr>
          <w:rFonts w:ascii="Calibri" w:hAnsi="Calibri" w:cs="Calibri"/>
          <w:sz w:val="22"/>
          <w:szCs w:val="22"/>
        </w:rPr>
        <w:t xml:space="preserve"> travel stipend of $</w:t>
      </w:r>
      <w:r w:rsidR="00D279DD" w:rsidRPr="00D75C96">
        <w:rPr>
          <w:rFonts w:ascii="Calibri" w:hAnsi="Calibri" w:cs="Calibri"/>
          <w:sz w:val="22"/>
          <w:szCs w:val="22"/>
        </w:rPr>
        <w:t>5</w:t>
      </w:r>
      <w:r w:rsidR="003C3679" w:rsidRPr="00D75C96">
        <w:rPr>
          <w:rFonts w:ascii="Calibri" w:hAnsi="Calibri" w:cs="Calibri"/>
          <w:sz w:val="22"/>
          <w:szCs w:val="22"/>
        </w:rPr>
        <w:t>00 per case study to help students travel to their case study sites; we anticipate being able to leverage additional travel funds from university sources and external partners, if needed. All</w:t>
      </w:r>
      <w:r w:rsidR="00D279DD" w:rsidRPr="00D75C96">
        <w:rPr>
          <w:rFonts w:ascii="Calibri" w:hAnsi="Calibri" w:cs="Calibri"/>
          <w:sz w:val="22"/>
          <w:szCs w:val="22"/>
        </w:rPr>
        <w:t xml:space="preserve"> primary and secondary</w:t>
      </w:r>
      <w:r w:rsidR="003C3679" w:rsidRPr="00D75C96">
        <w:rPr>
          <w:rFonts w:ascii="Calibri" w:hAnsi="Calibri" w:cs="Calibri"/>
          <w:sz w:val="22"/>
          <w:szCs w:val="22"/>
        </w:rPr>
        <w:t xml:space="preserve"> data</w:t>
      </w:r>
      <w:r w:rsidR="00D279DD" w:rsidRPr="00D75C96">
        <w:rPr>
          <w:rFonts w:ascii="Calibri" w:hAnsi="Calibri" w:cs="Calibri"/>
          <w:sz w:val="22"/>
          <w:szCs w:val="22"/>
        </w:rPr>
        <w:t xml:space="preserve"> </w:t>
      </w:r>
      <w:r w:rsidR="003C3679" w:rsidRPr="00D75C96">
        <w:rPr>
          <w:rFonts w:ascii="Calibri" w:hAnsi="Calibri" w:cs="Calibri"/>
          <w:sz w:val="22"/>
          <w:szCs w:val="22"/>
        </w:rPr>
        <w:t xml:space="preserve">students collect will be stored according to our data management plan. </w:t>
      </w:r>
      <w:r w:rsidRPr="00D75C96">
        <w:rPr>
          <w:rFonts w:ascii="Calibri" w:hAnsi="Calibri" w:cs="Calibri"/>
          <w:sz w:val="22"/>
          <w:szCs w:val="22"/>
        </w:rPr>
        <w:t xml:space="preserve">If there is student interest </w:t>
      </w:r>
      <w:r w:rsidR="00027C1C" w:rsidRPr="00D75C96">
        <w:rPr>
          <w:rFonts w:ascii="Calibri" w:hAnsi="Calibri" w:cs="Calibri"/>
          <w:sz w:val="22"/>
          <w:szCs w:val="22"/>
        </w:rPr>
        <w:t xml:space="preserve">in </w:t>
      </w:r>
      <w:r w:rsidRPr="00D75C96">
        <w:rPr>
          <w:rFonts w:ascii="Calibri" w:hAnsi="Calibri" w:cs="Calibri"/>
          <w:sz w:val="22"/>
          <w:szCs w:val="22"/>
        </w:rPr>
        <w:t xml:space="preserve">and capacity to conduct </w:t>
      </w:r>
      <w:r w:rsidR="00D279DD" w:rsidRPr="00D75C96">
        <w:rPr>
          <w:rFonts w:ascii="Calibri" w:hAnsi="Calibri" w:cs="Calibri"/>
          <w:sz w:val="22"/>
          <w:szCs w:val="22"/>
        </w:rPr>
        <w:t xml:space="preserve">additional </w:t>
      </w:r>
      <w:r w:rsidRPr="00D75C96">
        <w:rPr>
          <w:rFonts w:ascii="Calibri" w:hAnsi="Calibri" w:cs="Calibri"/>
          <w:sz w:val="22"/>
          <w:szCs w:val="22"/>
        </w:rPr>
        <w:t>case studies</w:t>
      </w:r>
      <w:r w:rsidR="003C3679" w:rsidRPr="00D75C96">
        <w:rPr>
          <w:rFonts w:ascii="Calibri" w:hAnsi="Calibri" w:cs="Calibri"/>
          <w:sz w:val="22"/>
          <w:szCs w:val="22"/>
        </w:rPr>
        <w:t xml:space="preserve"> for this project</w:t>
      </w:r>
      <w:r w:rsidR="00D279DD" w:rsidRPr="00D75C96">
        <w:rPr>
          <w:rFonts w:ascii="Calibri" w:hAnsi="Calibri" w:cs="Calibri"/>
          <w:sz w:val="22"/>
          <w:szCs w:val="22"/>
        </w:rPr>
        <w:t>, either as part of the workshop class or for their thesis requirement</w:t>
      </w:r>
      <w:r w:rsidRPr="00D75C96">
        <w:rPr>
          <w:rFonts w:ascii="Calibri" w:hAnsi="Calibri" w:cs="Calibri"/>
          <w:sz w:val="22"/>
          <w:szCs w:val="22"/>
        </w:rPr>
        <w:t>, we will add communities to our case study sample</w:t>
      </w:r>
      <w:r w:rsidR="002F671E" w:rsidRPr="00D75C96">
        <w:rPr>
          <w:rFonts w:ascii="Calibri" w:hAnsi="Calibri" w:cs="Calibri"/>
          <w:sz w:val="22"/>
          <w:szCs w:val="22"/>
        </w:rPr>
        <w:t>.</w:t>
      </w:r>
    </w:p>
    <w:p w14:paraId="336BC60B" w14:textId="26D8824D" w:rsidR="008C2CEE" w:rsidRPr="00D75C96" w:rsidRDefault="008C2CEE" w:rsidP="00893FE5">
      <w:pPr>
        <w:spacing w:before="123" w:line="240" w:lineRule="auto"/>
        <w:ind w:left="0" w:right="464" w:hanging="2"/>
        <w:rPr>
          <w:rFonts w:ascii="Calibri" w:hAnsi="Calibri" w:cs="Calibri"/>
          <w:sz w:val="22"/>
          <w:szCs w:val="22"/>
        </w:rPr>
      </w:pPr>
      <w:r w:rsidRPr="00D75C96">
        <w:rPr>
          <w:rFonts w:ascii="Calibri" w:hAnsi="Calibri" w:cs="Calibri"/>
          <w:b/>
          <w:bCs/>
          <w:sz w:val="22"/>
          <w:szCs w:val="22"/>
        </w:rPr>
        <w:t xml:space="preserve">Task </w:t>
      </w:r>
      <w:r w:rsidR="002B73D0" w:rsidRPr="00D75C96">
        <w:rPr>
          <w:rFonts w:ascii="Calibri" w:hAnsi="Calibri" w:cs="Calibri"/>
          <w:b/>
          <w:bCs/>
          <w:sz w:val="22"/>
          <w:szCs w:val="22"/>
        </w:rPr>
        <w:t>8</w:t>
      </w:r>
      <w:r w:rsidRPr="00D75C96">
        <w:rPr>
          <w:rFonts w:ascii="Calibri" w:hAnsi="Calibri" w:cs="Calibri"/>
          <w:b/>
          <w:bCs/>
          <w:sz w:val="22"/>
          <w:szCs w:val="22"/>
        </w:rPr>
        <w:t>:  Finalize case studies: (</w:t>
      </w:r>
      <w:r w:rsidR="00331C84" w:rsidRPr="00D75C96">
        <w:rPr>
          <w:rFonts w:ascii="Calibri" w:hAnsi="Calibri" w:cs="Calibri"/>
          <w:b/>
          <w:bCs/>
          <w:sz w:val="22"/>
          <w:szCs w:val="22"/>
        </w:rPr>
        <w:t>May</w:t>
      </w:r>
      <w:r w:rsidRPr="00D75C96">
        <w:rPr>
          <w:rFonts w:ascii="Calibri" w:hAnsi="Calibri" w:cs="Calibri"/>
          <w:b/>
          <w:bCs/>
          <w:sz w:val="22"/>
          <w:szCs w:val="22"/>
        </w:rPr>
        <w:t xml:space="preserve"> 202</w:t>
      </w:r>
      <w:r w:rsidR="00331C84" w:rsidRPr="00D75C96">
        <w:rPr>
          <w:rFonts w:ascii="Calibri" w:hAnsi="Calibri" w:cs="Calibri"/>
          <w:b/>
          <w:bCs/>
          <w:sz w:val="22"/>
          <w:szCs w:val="22"/>
        </w:rPr>
        <w:t>2</w:t>
      </w:r>
      <w:r w:rsidR="00632A87" w:rsidRPr="00D75C96">
        <w:rPr>
          <w:rFonts w:ascii="Calibri" w:hAnsi="Calibri" w:cs="Calibri"/>
          <w:b/>
          <w:bCs/>
          <w:sz w:val="22"/>
          <w:szCs w:val="22"/>
        </w:rPr>
        <w:t>—</w:t>
      </w:r>
      <w:r w:rsidR="00331C84" w:rsidRPr="00D75C96">
        <w:rPr>
          <w:rFonts w:ascii="Calibri" w:hAnsi="Calibri" w:cs="Calibri"/>
          <w:b/>
          <w:bCs/>
          <w:sz w:val="22"/>
          <w:szCs w:val="22"/>
        </w:rPr>
        <w:t>August</w:t>
      </w:r>
      <w:r w:rsidRPr="00D75C96">
        <w:rPr>
          <w:rFonts w:ascii="Calibri" w:hAnsi="Calibri" w:cs="Calibri"/>
          <w:b/>
          <w:bCs/>
          <w:sz w:val="22"/>
          <w:szCs w:val="22"/>
        </w:rPr>
        <w:t xml:space="preserve"> 2022): </w:t>
      </w:r>
      <w:r w:rsidR="003C3679" w:rsidRPr="00D75C96">
        <w:rPr>
          <w:rFonts w:ascii="Calibri" w:hAnsi="Calibri" w:cs="Calibri"/>
          <w:sz w:val="22"/>
          <w:szCs w:val="22"/>
        </w:rPr>
        <w:t xml:space="preserve">Having worked with </w:t>
      </w:r>
      <w:r w:rsidR="002F671E" w:rsidRPr="00D75C96">
        <w:rPr>
          <w:rFonts w:ascii="Calibri" w:hAnsi="Calibri" w:cs="Calibri"/>
          <w:sz w:val="22"/>
          <w:szCs w:val="22"/>
        </w:rPr>
        <w:t>dozens of</w:t>
      </w:r>
      <w:r w:rsidR="003C3679" w:rsidRPr="00D75C96">
        <w:rPr>
          <w:rFonts w:ascii="Calibri" w:hAnsi="Calibri" w:cs="Calibri"/>
          <w:sz w:val="22"/>
          <w:szCs w:val="22"/>
        </w:rPr>
        <w:t xml:space="preserve"> students and overseen numerous student projects, Dr. Rumore and Dr. Stoker anticipate that</w:t>
      </w:r>
      <w:r w:rsidR="00027C1C" w:rsidRPr="00D75C96">
        <w:rPr>
          <w:rFonts w:ascii="Calibri" w:hAnsi="Calibri" w:cs="Calibri"/>
          <w:sz w:val="22"/>
          <w:szCs w:val="22"/>
        </w:rPr>
        <w:t xml:space="preserve"> </w:t>
      </w:r>
      <w:r w:rsidR="003C3679" w:rsidRPr="00D75C96">
        <w:rPr>
          <w:rFonts w:ascii="Calibri" w:hAnsi="Calibri" w:cs="Calibri"/>
          <w:sz w:val="22"/>
          <w:szCs w:val="22"/>
        </w:rPr>
        <w:t xml:space="preserve">the case studies produced through the workshop course will require additional work prior to being finalized. </w:t>
      </w:r>
      <w:r w:rsidR="00632A87" w:rsidRPr="00D75C96">
        <w:rPr>
          <w:rFonts w:ascii="Calibri" w:hAnsi="Calibri" w:cs="Calibri"/>
          <w:sz w:val="22"/>
          <w:szCs w:val="22"/>
        </w:rPr>
        <w:t xml:space="preserve">Dr. Rumore and Dr. Stoker will work with </w:t>
      </w:r>
      <w:r w:rsidR="002F671E" w:rsidRPr="00D75C96">
        <w:rPr>
          <w:rFonts w:ascii="Calibri" w:hAnsi="Calibri" w:cs="Calibri"/>
          <w:sz w:val="22"/>
          <w:szCs w:val="22"/>
        </w:rPr>
        <w:t xml:space="preserve">research assistants under their supervision </w:t>
      </w:r>
      <w:r w:rsidR="00027C1C" w:rsidRPr="00D75C96">
        <w:rPr>
          <w:rFonts w:ascii="Calibri" w:hAnsi="Calibri" w:cs="Calibri"/>
          <w:sz w:val="22"/>
          <w:szCs w:val="22"/>
        </w:rPr>
        <w:t xml:space="preserve">and partners at Community Builders </w:t>
      </w:r>
      <w:r w:rsidR="00632A87" w:rsidRPr="00D75C96">
        <w:rPr>
          <w:rFonts w:ascii="Calibri" w:hAnsi="Calibri" w:cs="Calibri"/>
          <w:sz w:val="22"/>
          <w:szCs w:val="22"/>
        </w:rPr>
        <w:t xml:space="preserve">to polish and finalize any case studies that need additional work following completion of the workshop class. </w:t>
      </w:r>
    </w:p>
    <w:p w14:paraId="48995C74" w14:textId="5B0B8875" w:rsidR="008C2CEE" w:rsidRPr="00D75C96" w:rsidRDefault="008C2CEE" w:rsidP="005262B1">
      <w:pPr>
        <w:pStyle w:val="BodyText"/>
        <w:spacing w:before="125"/>
        <w:ind w:left="3" w:right="593" w:hanging="5"/>
        <w:rPr>
          <w:rFonts w:ascii="Calibri" w:eastAsia="Georgia" w:hAnsi="Calibri" w:cs="Calibri"/>
          <w:sz w:val="22"/>
          <w:szCs w:val="22"/>
        </w:rPr>
      </w:pPr>
      <w:r w:rsidRPr="00D75C96">
        <w:rPr>
          <w:rFonts w:ascii="Calibri" w:eastAsia="Georgia" w:hAnsi="Calibri" w:cs="Calibri"/>
          <w:b/>
          <w:bCs/>
          <w:sz w:val="22"/>
          <w:szCs w:val="22"/>
        </w:rPr>
        <w:t xml:space="preserve">Task </w:t>
      </w:r>
      <w:r w:rsidR="002B73D0" w:rsidRPr="00D75C96">
        <w:rPr>
          <w:rFonts w:ascii="Calibri" w:eastAsia="Georgia" w:hAnsi="Calibri" w:cs="Calibri"/>
          <w:b/>
          <w:bCs/>
          <w:sz w:val="22"/>
          <w:szCs w:val="22"/>
        </w:rPr>
        <w:t>9</w:t>
      </w:r>
      <w:r w:rsidRPr="00D75C96">
        <w:rPr>
          <w:rFonts w:ascii="Calibri" w:eastAsia="Georgia" w:hAnsi="Calibri" w:cs="Calibri"/>
          <w:b/>
          <w:bCs/>
          <w:sz w:val="22"/>
          <w:szCs w:val="22"/>
        </w:rPr>
        <w:t xml:space="preserve">: Observe and collect additional data through the GNAR </w:t>
      </w:r>
      <w:r w:rsidR="00632A87" w:rsidRPr="00D75C96">
        <w:rPr>
          <w:rFonts w:ascii="Calibri" w:eastAsia="Georgia" w:hAnsi="Calibri" w:cs="Calibri"/>
          <w:b/>
          <w:bCs/>
          <w:sz w:val="22"/>
          <w:szCs w:val="22"/>
        </w:rPr>
        <w:t>Initiative</w:t>
      </w:r>
      <w:r w:rsidRPr="00D75C96">
        <w:rPr>
          <w:rFonts w:ascii="Calibri" w:eastAsia="Georgia" w:hAnsi="Calibri" w:cs="Calibri"/>
          <w:b/>
          <w:bCs/>
          <w:sz w:val="22"/>
          <w:szCs w:val="22"/>
        </w:rPr>
        <w:t xml:space="preserve"> (continual effort):</w:t>
      </w:r>
      <w:r w:rsidRPr="00D75C96">
        <w:rPr>
          <w:rFonts w:ascii="Calibri" w:eastAsia="Georgia" w:hAnsi="Calibri" w:cs="Calibri"/>
          <w:sz w:val="22"/>
          <w:szCs w:val="22"/>
        </w:rPr>
        <w:t xml:space="preserve"> </w:t>
      </w:r>
      <w:r w:rsidR="00632A87" w:rsidRPr="00D75C96">
        <w:rPr>
          <w:rFonts w:ascii="Calibri" w:eastAsia="Georgia" w:hAnsi="Calibri" w:cs="Calibri"/>
          <w:sz w:val="22"/>
          <w:szCs w:val="22"/>
        </w:rPr>
        <w:t xml:space="preserve">Dr. Rumore is the founder and a Co-Director of the </w:t>
      </w:r>
      <w:r w:rsidRPr="00D75C96">
        <w:rPr>
          <w:rFonts w:ascii="Calibri" w:eastAsia="Georgia" w:hAnsi="Calibri" w:cs="Calibri"/>
          <w:sz w:val="22"/>
          <w:szCs w:val="22"/>
        </w:rPr>
        <w:t xml:space="preserve">GNAR </w:t>
      </w:r>
      <w:r w:rsidR="00632A87" w:rsidRPr="00D75C96">
        <w:rPr>
          <w:rFonts w:ascii="Calibri" w:eastAsia="Georgia" w:hAnsi="Calibri" w:cs="Calibri"/>
          <w:sz w:val="22"/>
          <w:szCs w:val="22"/>
        </w:rPr>
        <w:t>Initiative, which is housed by the Institute of Outdoor Recreation at Utah State University. The GNAR Initiative</w:t>
      </w:r>
      <w:r w:rsidR="0034206F" w:rsidRPr="00D75C96">
        <w:rPr>
          <w:rFonts w:ascii="Calibri" w:eastAsia="Georgia" w:hAnsi="Calibri" w:cs="Calibri"/>
          <w:sz w:val="22"/>
          <w:szCs w:val="22"/>
        </w:rPr>
        <w:t xml:space="preserve"> provides an ongoing opportunity to collect observational data. The GNAR Initiative</w:t>
      </w:r>
      <w:r w:rsidR="00632A87" w:rsidRPr="00D75C96">
        <w:rPr>
          <w:rFonts w:ascii="Calibri" w:eastAsia="Georgia" w:hAnsi="Calibri" w:cs="Calibri"/>
          <w:sz w:val="22"/>
          <w:szCs w:val="22"/>
        </w:rPr>
        <w:t xml:space="preserve"> is currently completing a webinar series on housing challenges and strategies in gateway communities</w:t>
      </w:r>
      <w:r w:rsidR="00FD6399" w:rsidRPr="00D75C96">
        <w:rPr>
          <w:rFonts w:ascii="Calibri" w:eastAsia="Georgia" w:hAnsi="Calibri" w:cs="Calibri"/>
          <w:sz w:val="22"/>
          <w:szCs w:val="22"/>
        </w:rPr>
        <w:t>; i</w:t>
      </w:r>
      <w:r w:rsidR="00632A87" w:rsidRPr="00D75C96">
        <w:rPr>
          <w:rFonts w:ascii="Calibri" w:eastAsia="Georgia" w:hAnsi="Calibri" w:cs="Calibri"/>
          <w:sz w:val="22"/>
          <w:szCs w:val="22"/>
        </w:rPr>
        <w:t xml:space="preserve">n fall 2020, </w:t>
      </w:r>
      <w:r w:rsidR="00027C1C" w:rsidRPr="00D75C96">
        <w:rPr>
          <w:rFonts w:ascii="Calibri" w:eastAsia="Georgia" w:hAnsi="Calibri" w:cs="Calibri"/>
          <w:sz w:val="22"/>
          <w:szCs w:val="22"/>
        </w:rPr>
        <w:t>the Initiative</w:t>
      </w:r>
      <w:r w:rsidR="00632A87" w:rsidRPr="00D75C96">
        <w:rPr>
          <w:rFonts w:ascii="Calibri" w:eastAsia="Georgia" w:hAnsi="Calibri" w:cs="Calibri"/>
          <w:sz w:val="22"/>
          <w:szCs w:val="22"/>
        </w:rPr>
        <w:t xml:space="preserve"> hosted a webinar series on amenity migration</w:t>
      </w:r>
      <w:r w:rsidR="00383CC9" w:rsidRPr="00D75C96">
        <w:rPr>
          <w:rFonts w:ascii="Calibri" w:eastAsia="Georgia" w:hAnsi="Calibri" w:cs="Calibri"/>
          <w:sz w:val="22"/>
          <w:szCs w:val="22"/>
        </w:rPr>
        <w:t xml:space="preserve">. These interactive webinars, which </w:t>
      </w:r>
      <w:r w:rsidR="0034206F" w:rsidRPr="00D75C96">
        <w:rPr>
          <w:rFonts w:ascii="Calibri" w:eastAsia="Georgia" w:hAnsi="Calibri" w:cs="Calibri"/>
          <w:sz w:val="22"/>
          <w:szCs w:val="22"/>
        </w:rPr>
        <w:t xml:space="preserve">have </w:t>
      </w:r>
      <w:r w:rsidR="00383CC9" w:rsidRPr="00D75C96">
        <w:rPr>
          <w:rFonts w:ascii="Calibri" w:eastAsia="Georgia" w:hAnsi="Calibri" w:cs="Calibri"/>
          <w:sz w:val="22"/>
          <w:szCs w:val="22"/>
        </w:rPr>
        <w:t>engage</w:t>
      </w:r>
      <w:r w:rsidR="0034206F" w:rsidRPr="00D75C96">
        <w:rPr>
          <w:rFonts w:ascii="Calibri" w:eastAsia="Georgia" w:hAnsi="Calibri" w:cs="Calibri"/>
          <w:sz w:val="22"/>
          <w:szCs w:val="22"/>
        </w:rPr>
        <w:t>d</w:t>
      </w:r>
      <w:r w:rsidR="00383CC9" w:rsidRPr="00D75C96">
        <w:rPr>
          <w:rFonts w:ascii="Calibri" w:eastAsia="Georgia" w:hAnsi="Calibri" w:cs="Calibri"/>
          <w:sz w:val="22"/>
          <w:szCs w:val="22"/>
        </w:rPr>
        <w:t xml:space="preserve"> </w:t>
      </w:r>
      <w:r w:rsidR="00383CC9" w:rsidRPr="00D75C96">
        <w:rPr>
          <w:rFonts w:ascii="Calibri" w:eastAsia="Georgia" w:hAnsi="Calibri" w:cs="Calibri"/>
          <w:sz w:val="22"/>
          <w:szCs w:val="22"/>
        </w:rPr>
        <w:lastRenderedPageBreak/>
        <w:t xml:space="preserve">hundreds of people from communities (including </w:t>
      </w:r>
      <w:r w:rsidR="00027C1C" w:rsidRPr="00D75C96">
        <w:rPr>
          <w:rFonts w:ascii="Calibri" w:eastAsia="Georgia" w:hAnsi="Calibri" w:cs="Calibri"/>
          <w:sz w:val="22"/>
          <w:szCs w:val="22"/>
        </w:rPr>
        <w:t xml:space="preserve">many </w:t>
      </w:r>
      <w:r w:rsidR="00383CC9" w:rsidRPr="00D75C96">
        <w:rPr>
          <w:rFonts w:ascii="Calibri" w:eastAsia="Georgia" w:hAnsi="Calibri" w:cs="Calibri"/>
          <w:sz w:val="22"/>
          <w:szCs w:val="22"/>
        </w:rPr>
        <w:t xml:space="preserve">urban areas) across the </w:t>
      </w:r>
      <w:r w:rsidR="00FD6399" w:rsidRPr="00D75C96">
        <w:rPr>
          <w:rFonts w:ascii="Calibri" w:eastAsia="Georgia" w:hAnsi="Calibri" w:cs="Calibri"/>
          <w:sz w:val="22"/>
          <w:szCs w:val="22"/>
        </w:rPr>
        <w:t>W</w:t>
      </w:r>
      <w:r w:rsidR="00383CC9" w:rsidRPr="00D75C96">
        <w:rPr>
          <w:rFonts w:ascii="Calibri" w:eastAsia="Georgia" w:hAnsi="Calibri" w:cs="Calibri"/>
          <w:sz w:val="22"/>
          <w:szCs w:val="22"/>
        </w:rPr>
        <w:t xml:space="preserve">est and nationally, have allowed us to collect some observational data on what is going on in gateway communities across </w:t>
      </w:r>
      <w:r w:rsidR="00632A87" w:rsidRPr="00D75C96">
        <w:rPr>
          <w:rFonts w:ascii="Calibri" w:eastAsia="Georgia" w:hAnsi="Calibri" w:cs="Calibri"/>
          <w:sz w:val="22"/>
          <w:szCs w:val="22"/>
        </w:rPr>
        <w:t xml:space="preserve">the </w:t>
      </w:r>
      <w:r w:rsidR="00FD6399" w:rsidRPr="00D75C96">
        <w:rPr>
          <w:rFonts w:ascii="Calibri" w:eastAsia="Georgia" w:hAnsi="Calibri" w:cs="Calibri"/>
          <w:sz w:val="22"/>
          <w:szCs w:val="22"/>
        </w:rPr>
        <w:t>W</w:t>
      </w:r>
      <w:r w:rsidR="00632A87" w:rsidRPr="00D75C96">
        <w:rPr>
          <w:rFonts w:ascii="Calibri" w:eastAsia="Georgia" w:hAnsi="Calibri" w:cs="Calibri"/>
          <w:sz w:val="22"/>
          <w:szCs w:val="22"/>
        </w:rPr>
        <w:t xml:space="preserve">est </w:t>
      </w:r>
      <w:r w:rsidR="005262B1" w:rsidRPr="00D75C96">
        <w:rPr>
          <w:rFonts w:ascii="Calibri" w:eastAsia="Georgia" w:hAnsi="Calibri" w:cs="Calibri"/>
          <w:sz w:val="22"/>
          <w:szCs w:val="22"/>
        </w:rPr>
        <w:t>in terms of growth and development following COVID</w:t>
      </w:r>
      <w:r w:rsidR="00383CC9" w:rsidRPr="00D75C96">
        <w:rPr>
          <w:rFonts w:ascii="Calibri" w:eastAsia="Georgia" w:hAnsi="Calibri" w:cs="Calibri"/>
          <w:sz w:val="22"/>
          <w:szCs w:val="22"/>
        </w:rPr>
        <w:t>-19</w:t>
      </w:r>
      <w:r w:rsidR="00632A87" w:rsidRPr="00D75C96">
        <w:rPr>
          <w:rFonts w:ascii="Calibri" w:eastAsia="Georgia" w:hAnsi="Calibri" w:cs="Calibri"/>
          <w:sz w:val="22"/>
          <w:szCs w:val="22"/>
        </w:rPr>
        <w:t xml:space="preserve">. </w:t>
      </w:r>
      <w:r w:rsidR="005262B1" w:rsidRPr="00D75C96">
        <w:rPr>
          <w:rFonts w:ascii="Calibri" w:eastAsia="Georgia" w:hAnsi="Calibri" w:cs="Calibri"/>
          <w:sz w:val="22"/>
          <w:szCs w:val="22"/>
        </w:rPr>
        <w:t>We anticipate continuing to host interactive webinars and peer-to-peer learning</w:t>
      </w:r>
      <w:r w:rsidR="007B2F26" w:rsidRPr="00D75C96">
        <w:rPr>
          <w:rFonts w:ascii="Calibri" w:eastAsia="Georgia" w:hAnsi="Calibri" w:cs="Calibri"/>
          <w:sz w:val="22"/>
          <w:szCs w:val="22"/>
        </w:rPr>
        <w:t xml:space="preserve"> workshops</w:t>
      </w:r>
      <w:r w:rsidR="005262B1" w:rsidRPr="00D75C96">
        <w:rPr>
          <w:rFonts w:ascii="Calibri" w:eastAsia="Georgia" w:hAnsi="Calibri" w:cs="Calibri"/>
          <w:sz w:val="22"/>
          <w:szCs w:val="22"/>
        </w:rPr>
        <w:t xml:space="preserve"> via the GNAR Initiative</w:t>
      </w:r>
      <w:r w:rsidR="00027C1C" w:rsidRPr="00D75C96">
        <w:rPr>
          <w:rFonts w:ascii="Calibri" w:eastAsia="Georgia" w:hAnsi="Calibri" w:cs="Calibri"/>
          <w:sz w:val="22"/>
          <w:szCs w:val="22"/>
        </w:rPr>
        <w:t xml:space="preserve"> and </w:t>
      </w:r>
      <w:r w:rsidR="005262B1" w:rsidRPr="00D75C96">
        <w:rPr>
          <w:rFonts w:ascii="Calibri" w:eastAsia="Georgia" w:hAnsi="Calibri" w:cs="Calibri"/>
          <w:sz w:val="22"/>
          <w:szCs w:val="22"/>
        </w:rPr>
        <w:t xml:space="preserve">to use these opportunities to gather data on what is going on in communities across the </w:t>
      </w:r>
      <w:r w:rsidR="00FD6399" w:rsidRPr="00D75C96">
        <w:rPr>
          <w:rFonts w:ascii="Calibri" w:eastAsia="Georgia" w:hAnsi="Calibri" w:cs="Calibri"/>
          <w:sz w:val="22"/>
          <w:szCs w:val="22"/>
        </w:rPr>
        <w:t>W</w:t>
      </w:r>
      <w:r w:rsidR="005262B1" w:rsidRPr="00D75C96">
        <w:rPr>
          <w:rFonts w:ascii="Calibri" w:eastAsia="Georgia" w:hAnsi="Calibri" w:cs="Calibri"/>
          <w:sz w:val="22"/>
          <w:szCs w:val="22"/>
        </w:rPr>
        <w:t>est</w:t>
      </w:r>
      <w:r w:rsidR="00027C1C" w:rsidRPr="00D75C96">
        <w:rPr>
          <w:rFonts w:ascii="Calibri" w:eastAsia="Georgia" w:hAnsi="Calibri" w:cs="Calibri"/>
          <w:sz w:val="22"/>
          <w:szCs w:val="22"/>
        </w:rPr>
        <w:t xml:space="preserve"> and </w:t>
      </w:r>
      <w:r w:rsidR="00E54F31" w:rsidRPr="00D75C96">
        <w:rPr>
          <w:rFonts w:ascii="Calibri" w:eastAsia="Georgia" w:hAnsi="Calibri" w:cs="Calibri"/>
          <w:sz w:val="22"/>
          <w:szCs w:val="22"/>
        </w:rPr>
        <w:t xml:space="preserve">share </w:t>
      </w:r>
      <w:r w:rsidR="00027C1C" w:rsidRPr="00D75C96">
        <w:rPr>
          <w:rFonts w:ascii="Calibri" w:eastAsia="Georgia" w:hAnsi="Calibri" w:cs="Calibri"/>
          <w:sz w:val="22"/>
          <w:szCs w:val="22"/>
        </w:rPr>
        <w:t>the findings and tools from this study</w:t>
      </w:r>
      <w:r w:rsidR="005262B1" w:rsidRPr="00D75C96">
        <w:rPr>
          <w:rFonts w:ascii="Calibri" w:eastAsia="Georgia" w:hAnsi="Calibri" w:cs="Calibri"/>
          <w:sz w:val="22"/>
          <w:szCs w:val="22"/>
        </w:rPr>
        <w:t xml:space="preserve">. Dr. Rumore and the other GNAR Initiative </w:t>
      </w:r>
      <w:r w:rsidR="00331C84" w:rsidRPr="00D75C96">
        <w:rPr>
          <w:rFonts w:ascii="Calibri" w:eastAsia="Georgia" w:hAnsi="Calibri" w:cs="Calibri"/>
          <w:sz w:val="22"/>
          <w:szCs w:val="22"/>
        </w:rPr>
        <w:t>C</w:t>
      </w:r>
      <w:r w:rsidR="005262B1" w:rsidRPr="00D75C96">
        <w:rPr>
          <w:rFonts w:ascii="Calibri" w:eastAsia="Georgia" w:hAnsi="Calibri" w:cs="Calibri"/>
          <w:sz w:val="22"/>
          <w:szCs w:val="22"/>
        </w:rPr>
        <w:t xml:space="preserve">o-Directors will organize these events with support from the GNAR Initiative Coordinator. We will engage students involved in this project in </w:t>
      </w:r>
      <w:r w:rsidR="00027C1C" w:rsidRPr="00D75C96">
        <w:rPr>
          <w:rFonts w:ascii="Calibri" w:eastAsia="Georgia" w:hAnsi="Calibri" w:cs="Calibri"/>
          <w:sz w:val="22"/>
          <w:szCs w:val="22"/>
        </w:rPr>
        <w:t>organizing</w:t>
      </w:r>
      <w:r w:rsidR="005262B1" w:rsidRPr="00D75C96">
        <w:rPr>
          <w:rFonts w:ascii="Calibri" w:eastAsia="Georgia" w:hAnsi="Calibri" w:cs="Calibri"/>
          <w:sz w:val="22"/>
          <w:szCs w:val="22"/>
        </w:rPr>
        <w:t xml:space="preserve"> GNAR Initiative events</w:t>
      </w:r>
      <w:r w:rsidR="00383CC9" w:rsidRPr="00D75C96">
        <w:rPr>
          <w:rFonts w:ascii="Calibri" w:eastAsia="Georgia" w:hAnsi="Calibri" w:cs="Calibri"/>
          <w:sz w:val="22"/>
          <w:szCs w:val="22"/>
        </w:rPr>
        <w:t xml:space="preserve"> and collecting and analyzing observational data, which will be coded </w:t>
      </w:r>
      <w:r w:rsidRPr="00D75C96">
        <w:rPr>
          <w:rFonts w:ascii="Calibri" w:eastAsia="Georgia" w:hAnsi="Calibri" w:cs="Calibri"/>
          <w:sz w:val="22"/>
          <w:szCs w:val="22"/>
        </w:rPr>
        <w:t>and analyzed using A</w:t>
      </w:r>
      <w:r w:rsidR="00FD6399" w:rsidRPr="00D75C96">
        <w:rPr>
          <w:rFonts w:ascii="Calibri" w:eastAsia="Georgia" w:hAnsi="Calibri" w:cs="Calibri"/>
          <w:sz w:val="22"/>
          <w:szCs w:val="22"/>
        </w:rPr>
        <w:t>TLAS</w:t>
      </w:r>
      <w:r w:rsidRPr="00D75C96">
        <w:rPr>
          <w:rFonts w:ascii="Calibri" w:eastAsia="Georgia" w:hAnsi="Calibri" w:cs="Calibri"/>
          <w:sz w:val="22"/>
          <w:szCs w:val="22"/>
        </w:rPr>
        <w:t xml:space="preserve">.it software. </w:t>
      </w:r>
    </w:p>
    <w:p w14:paraId="3E7C9A6B" w14:textId="647ECB17" w:rsidR="008C2CEE" w:rsidRPr="00D75C96" w:rsidRDefault="008C2CEE" w:rsidP="008C2CEE">
      <w:pPr>
        <w:pStyle w:val="BodyText"/>
        <w:spacing w:before="122"/>
        <w:ind w:right="498"/>
        <w:rPr>
          <w:rFonts w:ascii="Calibri" w:eastAsia="Georgia" w:hAnsi="Calibri" w:cs="Calibri"/>
          <w:sz w:val="22"/>
          <w:szCs w:val="22"/>
        </w:rPr>
      </w:pPr>
      <w:r w:rsidRPr="00D75C96">
        <w:rPr>
          <w:rFonts w:ascii="Calibri" w:eastAsia="Georgia" w:hAnsi="Calibri" w:cs="Calibri"/>
          <w:b/>
          <w:bCs/>
          <w:sz w:val="22"/>
          <w:szCs w:val="22"/>
        </w:rPr>
        <w:t xml:space="preserve">Task </w:t>
      </w:r>
      <w:r w:rsidR="002B73D0" w:rsidRPr="00D75C96">
        <w:rPr>
          <w:rFonts w:ascii="Calibri" w:eastAsia="Georgia" w:hAnsi="Calibri" w:cs="Calibri"/>
          <w:b/>
          <w:bCs/>
          <w:sz w:val="22"/>
          <w:szCs w:val="22"/>
        </w:rPr>
        <w:t>10</w:t>
      </w:r>
      <w:r w:rsidRPr="00D75C96">
        <w:rPr>
          <w:rFonts w:ascii="Calibri" w:eastAsia="Georgia" w:hAnsi="Calibri" w:cs="Calibri"/>
          <w:b/>
          <w:bCs/>
          <w:sz w:val="22"/>
          <w:szCs w:val="22"/>
        </w:rPr>
        <w:t xml:space="preserve">: Analyze data across sites </w:t>
      </w:r>
      <w:r w:rsidR="005262B1" w:rsidRPr="00D75C96">
        <w:rPr>
          <w:rFonts w:ascii="Calibri" w:eastAsia="Georgia" w:hAnsi="Calibri" w:cs="Calibri"/>
          <w:b/>
          <w:bCs/>
          <w:sz w:val="22"/>
          <w:szCs w:val="22"/>
        </w:rPr>
        <w:t xml:space="preserve">and sources </w:t>
      </w:r>
      <w:r w:rsidRPr="00D75C96">
        <w:rPr>
          <w:rFonts w:ascii="Calibri" w:eastAsia="Georgia" w:hAnsi="Calibri" w:cs="Calibri"/>
          <w:b/>
          <w:bCs/>
          <w:sz w:val="22"/>
          <w:szCs w:val="22"/>
        </w:rPr>
        <w:t>and write up findings (</w:t>
      </w:r>
      <w:r w:rsidR="00331C84" w:rsidRPr="00D75C96">
        <w:rPr>
          <w:rFonts w:ascii="Calibri" w:eastAsia="Georgia" w:hAnsi="Calibri" w:cs="Calibri"/>
          <w:b/>
          <w:bCs/>
          <w:sz w:val="22"/>
          <w:szCs w:val="22"/>
        </w:rPr>
        <w:t xml:space="preserve">July </w:t>
      </w:r>
      <w:r w:rsidRPr="00D75C96">
        <w:rPr>
          <w:rFonts w:ascii="Calibri" w:eastAsia="Georgia" w:hAnsi="Calibri" w:cs="Calibri"/>
          <w:b/>
          <w:bCs/>
          <w:sz w:val="22"/>
          <w:szCs w:val="22"/>
        </w:rPr>
        <w:t>2022—November 2022</w:t>
      </w:r>
      <w:r w:rsidRPr="00D75C96">
        <w:rPr>
          <w:rFonts w:ascii="Calibri" w:eastAsia="Georgia" w:hAnsi="Calibri" w:cs="Calibri"/>
          <w:sz w:val="22"/>
          <w:szCs w:val="22"/>
        </w:rPr>
        <w:t xml:space="preserve">): Building on the analysis of our survey results and individual case studies, we will analyze </w:t>
      </w:r>
      <w:r w:rsidR="00CA279D" w:rsidRPr="00D75C96">
        <w:rPr>
          <w:rFonts w:ascii="Calibri" w:eastAsia="Georgia" w:hAnsi="Calibri" w:cs="Calibri"/>
          <w:sz w:val="22"/>
          <w:szCs w:val="22"/>
        </w:rPr>
        <w:t>findings across all our data sources</w:t>
      </w:r>
      <w:r w:rsidRPr="00D75C96">
        <w:rPr>
          <w:rFonts w:ascii="Calibri" w:eastAsia="Georgia" w:hAnsi="Calibri" w:cs="Calibri"/>
          <w:sz w:val="22"/>
          <w:szCs w:val="22"/>
        </w:rPr>
        <w:t xml:space="preserve"> to generate generalizable results, lessons learned, and policy and planning recommendations. This analysis will be led by Dr. Rumore and Dr. Stoker</w:t>
      </w:r>
      <w:r w:rsidR="00FD1050" w:rsidRPr="00D75C96">
        <w:rPr>
          <w:rFonts w:ascii="Calibri" w:eastAsia="Georgia" w:hAnsi="Calibri" w:cs="Calibri"/>
          <w:sz w:val="22"/>
          <w:szCs w:val="22"/>
        </w:rPr>
        <w:t>,</w:t>
      </w:r>
      <w:r w:rsidRPr="00D75C96">
        <w:rPr>
          <w:rFonts w:ascii="Calibri" w:eastAsia="Georgia" w:hAnsi="Calibri" w:cs="Calibri"/>
          <w:sz w:val="22"/>
          <w:szCs w:val="22"/>
        </w:rPr>
        <w:t xml:space="preserve"> with support from students and</w:t>
      </w:r>
      <w:r w:rsidR="005262B1" w:rsidRPr="00D75C96">
        <w:rPr>
          <w:rFonts w:ascii="Calibri" w:eastAsia="Georgia" w:hAnsi="Calibri" w:cs="Calibri"/>
          <w:sz w:val="22"/>
          <w:szCs w:val="22"/>
        </w:rPr>
        <w:t xml:space="preserve"> project partners. </w:t>
      </w:r>
      <w:r w:rsidR="00405277" w:rsidRPr="00D75C96">
        <w:rPr>
          <w:rFonts w:ascii="Calibri" w:eastAsia="Georgia" w:hAnsi="Calibri" w:cs="Calibri"/>
          <w:sz w:val="22"/>
          <w:szCs w:val="22"/>
        </w:rPr>
        <w:t>We will writeup the</w:t>
      </w:r>
      <w:r w:rsidR="005262B1" w:rsidRPr="00D75C96">
        <w:rPr>
          <w:rFonts w:ascii="Calibri" w:eastAsia="Georgia" w:hAnsi="Calibri" w:cs="Calibri"/>
          <w:sz w:val="22"/>
          <w:szCs w:val="22"/>
        </w:rPr>
        <w:t xml:space="preserve"> results from our cross-site analysis in academic articles</w:t>
      </w:r>
      <w:r w:rsidR="00CA279D" w:rsidRPr="00D75C96">
        <w:rPr>
          <w:rFonts w:ascii="Calibri" w:eastAsia="Georgia" w:hAnsi="Calibri" w:cs="Calibri"/>
          <w:sz w:val="22"/>
          <w:szCs w:val="22"/>
        </w:rPr>
        <w:t>,</w:t>
      </w:r>
      <w:r w:rsidR="005262B1" w:rsidRPr="00D75C96">
        <w:rPr>
          <w:rFonts w:ascii="Calibri" w:eastAsia="Georgia" w:hAnsi="Calibri" w:cs="Calibri"/>
          <w:sz w:val="22"/>
          <w:szCs w:val="22"/>
        </w:rPr>
        <w:t xml:space="preserve"> a series of white papers/brief</w:t>
      </w:r>
      <w:r w:rsidR="00CB6678" w:rsidRPr="00D75C96">
        <w:rPr>
          <w:rFonts w:ascii="Calibri" w:eastAsia="Georgia" w:hAnsi="Calibri" w:cs="Calibri"/>
          <w:sz w:val="22"/>
          <w:szCs w:val="22"/>
        </w:rPr>
        <w:t>s</w:t>
      </w:r>
      <w:r w:rsidR="00CA279D" w:rsidRPr="00D75C96">
        <w:rPr>
          <w:rFonts w:ascii="Calibri" w:eastAsia="Georgia" w:hAnsi="Calibri" w:cs="Calibri"/>
          <w:sz w:val="22"/>
          <w:szCs w:val="22"/>
        </w:rPr>
        <w:t>, and blogs</w:t>
      </w:r>
      <w:r w:rsidR="005262B1" w:rsidRPr="00D75C96">
        <w:rPr>
          <w:rFonts w:ascii="Calibri" w:eastAsia="Georgia" w:hAnsi="Calibri" w:cs="Calibri"/>
          <w:sz w:val="22"/>
          <w:szCs w:val="22"/>
        </w:rPr>
        <w:t xml:space="preserve"> that will be shared via the GNAR Initiative website.</w:t>
      </w:r>
    </w:p>
    <w:p w14:paraId="4D3CD143" w14:textId="564AE0C7" w:rsidR="008C2CEE" w:rsidRPr="00D75C96" w:rsidRDefault="008C2CEE" w:rsidP="008C2CEE">
      <w:pPr>
        <w:pStyle w:val="BodyText"/>
        <w:spacing w:before="122"/>
        <w:ind w:left="3" w:right="464" w:hanging="5"/>
        <w:rPr>
          <w:rFonts w:ascii="Calibri" w:eastAsia="Georgia" w:hAnsi="Calibri" w:cs="Calibri"/>
          <w:sz w:val="22"/>
          <w:szCs w:val="22"/>
        </w:rPr>
      </w:pPr>
      <w:r w:rsidRPr="00D75C96">
        <w:rPr>
          <w:rFonts w:ascii="Calibri" w:eastAsia="Georgia" w:hAnsi="Calibri" w:cs="Calibri"/>
          <w:b/>
          <w:bCs/>
          <w:sz w:val="22"/>
          <w:szCs w:val="22"/>
        </w:rPr>
        <w:t>Task 1</w:t>
      </w:r>
      <w:r w:rsidR="002B73D0" w:rsidRPr="00D75C96">
        <w:rPr>
          <w:rFonts w:ascii="Calibri" w:eastAsia="Georgia" w:hAnsi="Calibri" w:cs="Calibri"/>
          <w:b/>
          <w:bCs/>
          <w:sz w:val="22"/>
          <w:szCs w:val="22"/>
        </w:rPr>
        <w:t>1</w:t>
      </w:r>
      <w:r w:rsidRPr="00D75C96">
        <w:rPr>
          <w:rFonts w:ascii="Calibri" w:eastAsia="Georgia" w:hAnsi="Calibri" w:cs="Calibri"/>
          <w:b/>
          <w:bCs/>
          <w:sz w:val="22"/>
          <w:szCs w:val="22"/>
        </w:rPr>
        <w:t>: Dissemination, outreach, and education, and reporting (continual effort</w:t>
      </w:r>
      <w:r w:rsidRPr="00D75C96">
        <w:rPr>
          <w:rFonts w:ascii="Calibri" w:eastAsia="Georgia" w:hAnsi="Calibri" w:cs="Calibri"/>
          <w:sz w:val="22"/>
          <w:szCs w:val="22"/>
        </w:rPr>
        <w:t>): The project team will engage in outreach, education, and dissemination</w:t>
      </w:r>
      <w:r w:rsidR="00CB6678" w:rsidRPr="00D75C96">
        <w:rPr>
          <w:rFonts w:ascii="Calibri" w:eastAsia="Georgia" w:hAnsi="Calibri" w:cs="Calibri"/>
          <w:sz w:val="22"/>
          <w:szCs w:val="22"/>
        </w:rPr>
        <w:t xml:space="preserve"> efforts</w:t>
      </w:r>
      <w:r w:rsidRPr="00D75C96">
        <w:rPr>
          <w:rFonts w:ascii="Calibri" w:eastAsia="Georgia" w:hAnsi="Calibri" w:cs="Calibri"/>
          <w:sz w:val="22"/>
          <w:szCs w:val="22"/>
        </w:rPr>
        <w:t xml:space="preserve"> throughout the project period. Dr. Rumore</w:t>
      </w:r>
      <w:r w:rsidR="005262B1" w:rsidRPr="00D75C96">
        <w:rPr>
          <w:rFonts w:ascii="Calibri" w:eastAsia="Georgia" w:hAnsi="Calibri" w:cs="Calibri"/>
          <w:sz w:val="22"/>
          <w:szCs w:val="22"/>
        </w:rPr>
        <w:t xml:space="preserve"> and Dr. Stoker</w:t>
      </w:r>
      <w:r w:rsidRPr="00D75C96">
        <w:rPr>
          <w:rFonts w:ascii="Calibri" w:eastAsia="Georgia" w:hAnsi="Calibri" w:cs="Calibri"/>
          <w:sz w:val="22"/>
          <w:szCs w:val="22"/>
        </w:rPr>
        <w:t xml:space="preserve"> will lead dissemination, outreach, and education efforts, with significant support from students and </w:t>
      </w:r>
      <w:r w:rsidR="005262B1" w:rsidRPr="00D75C96">
        <w:rPr>
          <w:rFonts w:ascii="Calibri" w:eastAsia="Georgia" w:hAnsi="Calibri" w:cs="Calibri"/>
          <w:sz w:val="22"/>
          <w:szCs w:val="22"/>
        </w:rPr>
        <w:t>GNAR Initiative partners</w:t>
      </w:r>
      <w:r w:rsidRPr="00D75C96">
        <w:rPr>
          <w:rFonts w:ascii="Calibri" w:eastAsia="Georgia" w:hAnsi="Calibri" w:cs="Calibri"/>
          <w:sz w:val="22"/>
          <w:szCs w:val="22"/>
        </w:rPr>
        <w:t>. Outreach, education, and dissemination activities will include:</w:t>
      </w:r>
    </w:p>
    <w:p w14:paraId="3134E1BD" w14:textId="2EEEA120" w:rsidR="008C2CEE" w:rsidRPr="00D75C96" w:rsidRDefault="008C2CEE" w:rsidP="008C2CEE">
      <w:pPr>
        <w:pStyle w:val="BodyText"/>
        <w:numPr>
          <w:ilvl w:val="0"/>
          <w:numId w:val="13"/>
        </w:numPr>
        <w:ind w:left="720" w:right="461"/>
        <w:rPr>
          <w:rFonts w:ascii="Calibri" w:eastAsia="Georgia" w:hAnsi="Calibri" w:cs="Calibri"/>
          <w:sz w:val="22"/>
          <w:szCs w:val="22"/>
        </w:rPr>
      </w:pPr>
      <w:r w:rsidRPr="00D75C96">
        <w:rPr>
          <w:rFonts w:ascii="Calibri" w:eastAsia="Georgia" w:hAnsi="Calibri" w:cs="Calibri"/>
          <w:sz w:val="22"/>
          <w:szCs w:val="22"/>
        </w:rPr>
        <w:t xml:space="preserve">Preparation and submission of </w:t>
      </w:r>
      <w:r w:rsidR="00F17009" w:rsidRPr="00D75C96">
        <w:rPr>
          <w:rFonts w:ascii="Calibri" w:eastAsia="Georgia" w:hAnsi="Calibri" w:cs="Calibri"/>
          <w:sz w:val="22"/>
          <w:szCs w:val="22"/>
        </w:rPr>
        <w:t>NITC reports</w:t>
      </w:r>
      <w:r w:rsidRPr="00D75C96">
        <w:rPr>
          <w:rFonts w:ascii="Calibri" w:eastAsia="Georgia" w:hAnsi="Calibri" w:cs="Calibri"/>
          <w:sz w:val="22"/>
          <w:szCs w:val="22"/>
        </w:rPr>
        <w:t>, according to NITC reporting requirements.</w:t>
      </w:r>
    </w:p>
    <w:p w14:paraId="54C4E6CD" w14:textId="0000546C" w:rsidR="008C2CEE" w:rsidRPr="00D75C96" w:rsidRDefault="008C2CEE" w:rsidP="008C2CEE">
      <w:pPr>
        <w:pStyle w:val="BodyText"/>
        <w:numPr>
          <w:ilvl w:val="0"/>
          <w:numId w:val="13"/>
        </w:numPr>
        <w:ind w:left="720" w:right="461"/>
        <w:rPr>
          <w:rFonts w:ascii="Calibri" w:eastAsia="Georgia" w:hAnsi="Calibri" w:cs="Calibri"/>
          <w:sz w:val="22"/>
          <w:szCs w:val="22"/>
        </w:rPr>
      </w:pPr>
      <w:r w:rsidRPr="00D75C96">
        <w:rPr>
          <w:rFonts w:ascii="Calibri" w:eastAsia="Georgia" w:hAnsi="Calibri" w:cs="Calibri"/>
          <w:sz w:val="22"/>
          <w:szCs w:val="22"/>
        </w:rPr>
        <w:t>Preparation and publication of peer-reviewed academic articles reporting on project findings, especially during the second half of the project.</w:t>
      </w:r>
      <w:r w:rsidR="00284362" w:rsidRPr="00D75C96">
        <w:rPr>
          <w:rFonts w:ascii="Calibri" w:eastAsia="Georgia" w:hAnsi="Calibri" w:cs="Calibri"/>
          <w:sz w:val="22"/>
          <w:szCs w:val="22"/>
        </w:rPr>
        <w:t xml:space="preserve"> </w:t>
      </w:r>
      <w:r w:rsidR="00331C84" w:rsidRPr="00D75C96">
        <w:rPr>
          <w:rFonts w:ascii="Calibri" w:eastAsia="Georgia" w:hAnsi="Calibri" w:cs="Calibri"/>
          <w:sz w:val="22"/>
          <w:szCs w:val="22"/>
        </w:rPr>
        <w:t>Interested s</w:t>
      </w:r>
      <w:r w:rsidR="00284362" w:rsidRPr="00D75C96">
        <w:rPr>
          <w:rFonts w:ascii="Calibri" w:eastAsia="Georgia" w:hAnsi="Calibri" w:cs="Calibri"/>
          <w:sz w:val="22"/>
          <w:szCs w:val="22"/>
        </w:rPr>
        <w:t>tudents will be involved as co-authors.</w:t>
      </w:r>
    </w:p>
    <w:p w14:paraId="20D729D4" w14:textId="3970E739" w:rsidR="008C2CEE" w:rsidRPr="00D75C96" w:rsidRDefault="008C2CEE" w:rsidP="008C2CEE">
      <w:pPr>
        <w:pStyle w:val="BodyText"/>
        <w:numPr>
          <w:ilvl w:val="0"/>
          <w:numId w:val="13"/>
        </w:numPr>
        <w:ind w:left="720" w:right="461"/>
        <w:rPr>
          <w:rFonts w:ascii="Calibri" w:eastAsia="Georgia" w:hAnsi="Calibri" w:cs="Calibri"/>
          <w:sz w:val="22"/>
          <w:szCs w:val="22"/>
        </w:rPr>
      </w:pPr>
      <w:r w:rsidRPr="00D75C96">
        <w:rPr>
          <w:rFonts w:ascii="Calibri" w:eastAsia="Georgia" w:hAnsi="Calibri" w:cs="Calibri"/>
          <w:sz w:val="22"/>
          <w:szCs w:val="22"/>
        </w:rPr>
        <w:t xml:space="preserve">Preparation and dissemination of </w:t>
      </w:r>
      <w:r w:rsidR="00CB6678" w:rsidRPr="00D75C96">
        <w:rPr>
          <w:rFonts w:ascii="Calibri" w:eastAsia="Georgia" w:hAnsi="Calibri" w:cs="Calibri"/>
          <w:sz w:val="22"/>
          <w:szCs w:val="22"/>
        </w:rPr>
        <w:t>white papers/</w:t>
      </w:r>
      <w:r w:rsidRPr="00D75C96">
        <w:rPr>
          <w:rFonts w:ascii="Calibri" w:eastAsia="Georgia" w:hAnsi="Calibri" w:cs="Calibri"/>
          <w:sz w:val="22"/>
          <w:szCs w:val="22"/>
        </w:rPr>
        <w:t>briefs on topics related to housing</w:t>
      </w:r>
      <w:r w:rsidR="00F17009" w:rsidRPr="00D75C96">
        <w:rPr>
          <w:rFonts w:ascii="Calibri" w:eastAsia="Georgia" w:hAnsi="Calibri" w:cs="Calibri"/>
          <w:sz w:val="22"/>
          <w:szCs w:val="22"/>
        </w:rPr>
        <w:t xml:space="preserve">, transportation, and land use </w:t>
      </w:r>
      <w:r w:rsidRPr="00D75C96">
        <w:rPr>
          <w:rFonts w:ascii="Calibri" w:eastAsia="Georgia" w:hAnsi="Calibri" w:cs="Calibri"/>
          <w:sz w:val="22"/>
          <w:szCs w:val="22"/>
        </w:rPr>
        <w:t xml:space="preserve">in gateway communities and regions. These will be targeted toward planners, </w:t>
      </w:r>
      <w:r w:rsidR="00CB6678" w:rsidRPr="00D75C96">
        <w:rPr>
          <w:rFonts w:ascii="Calibri" w:eastAsia="Georgia" w:hAnsi="Calibri" w:cs="Calibri"/>
          <w:sz w:val="22"/>
          <w:szCs w:val="22"/>
        </w:rPr>
        <w:t>elected</w:t>
      </w:r>
      <w:r w:rsidRPr="00D75C96">
        <w:rPr>
          <w:rFonts w:ascii="Calibri" w:eastAsia="Georgia" w:hAnsi="Calibri" w:cs="Calibri"/>
          <w:sz w:val="22"/>
          <w:szCs w:val="22"/>
        </w:rPr>
        <w:t xml:space="preserve"> officials, </w:t>
      </w:r>
      <w:r w:rsidR="00CB6678" w:rsidRPr="00D75C96">
        <w:rPr>
          <w:rFonts w:ascii="Calibri" w:eastAsia="Georgia" w:hAnsi="Calibri" w:cs="Calibri"/>
          <w:sz w:val="22"/>
          <w:szCs w:val="22"/>
        </w:rPr>
        <w:t xml:space="preserve">state and federal policymakers, </w:t>
      </w:r>
      <w:r w:rsidRPr="00D75C96">
        <w:rPr>
          <w:rFonts w:ascii="Calibri" w:eastAsia="Georgia" w:hAnsi="Calibri" w:cs="Calibri"/>
          <w:sz w:val="22"/>
          <w:szCs w:val="22"/>
        </w:rPr>
        <w:t xml:space="preserve">transportation </w:t>
      </w:r>
      <w:r w:rsidR="00CB6678" w:rsidRPr="00D75C96">
        <w:rPr>
          <w:rFonts w:ascii="Calibri" w:eastAsia="Georgia" w:hAnsi="Calibri" w:cs="Calibri"/>
          <w:sz w:val="22"/>
          <w:szCs w:val="22"/>
        </w:rPr>
        <w:t xml:space="preserve">and housing </w:t>
      </w:r>
      <w:r w:rsidRPr="00D75C96">
        <w:rPr>
          <w:rFonts w:ascii="Calibri" w:eastAsia="Georgia" w:hAnsi="Calibri" w:cs="Calibri"/>
          <w:sz w:val="22"/>
          <w:szCs w:val="22"/>
        </w:rPr>
        <w:t xml:space="preserve">agencies, </w:t>
      </w:r>
      <w:r w:rsidR="00027C1C" w:rsidRPr="00D75C96">
        <w:rPr>
          <w:rFonts w:ascii="Calibri" w:eastAsia="Georgia" w:hAnsi="Calibri" w:cs="Calibri"/>
          <w:sz w:val="22"/>
          <w:szCs w:val="22"/>
        </w:rPr>
        <w:t>NGOs, consultan</w:t>
      </w:r>
      <w:r w:rsidR="00FD1050" w:rsidRPr="00D75C96">
        <w:rPr>
          <w:rFonts w:ascii="Calibri" w:eastAsia="Georgia" w:hAnsi="Calibri" w:cs="Calibri"/>
          <w:sz w:val="22"/>
          <w:szCs w:val="22"/>
        </w:rPr>
        <w:t>ts</w:t>
      </w:r>
      <w:r w:rsidR="00027C1C" w:rsidRPr="00D75C96">
        <w:rPr>
          <w:rFonts w:ascii="Calibri" w:eastAsia="Georgia" w:hAnsi="Calibri" w:cs="Calibri"/>
          <w:sz w:val="22"/>
          <w:szCs w:val="22"/>
        </w:rPr>
        <w:t xml:space="preserve">, </w:t>
      </w:r>
      <w:r w:rsidRPr="00D75C96">
        <w:rPr>
          <w:rFonts w:ascii="Calibri" w:eastAsia="Georgia" w:hAnsi="Calibri" w:cs="Calibri"/>
          <w:sz w:val="22"/>
          <w:szCs w:val="22"/>
        </w:rPr>
        <w:t xml:space="preserve">and other professionals </w:t>
      </w:r>
      <w:r w:rsidR="00FD1050" w:rsidRPr="00D75C96">
        <w:rPr>
          <w:rFonts w:ascii="Calibri" w:eastAsia="Georgia" w:hAnsi="Calibri" w:cs="Calibri"/>
          <w:sz w:val="22"/>
          <w:szCs w:val="22"/>
        </w:rPr>
        <w:t xml:space="preserve">and organizations </w:t>
      </w:r>
      <w:r w:rsidRPr="00D75C96">
        <w:rPr>
          <w:rFonts w:ascii="Calibri" w:eastAsia="Georgia" w:hAnsi="Calibri" w:cs="Calibri"/>
          <w:sz w:val="22"/>
          <w:szCs w:val="22"/>
        </w:rPr>
        <w:t>working in or with gateway communities.</w:t>
      </w:r>
    </w:p>
    <w:p w14:paraId="796C7E4F" w14:textId="075808B5" w:rsidR="008C2CEE" w:rsidRPr="00D75C96" w:rsidRDefault="008C2CEE" w:rsidP="008C2CEE">
      <w:pPr>
        <w:pStyle w:val="BodyText"/>
        <w:numPr>
          <w:ilvl w:val="0"/>
          <w:numId w:val="13"/>
        </w:numPr>
        <w:ind w:left="720" w:right="461"/>
        <w:rPr>
          <w:rFonts w:ascii="Calibri" w:eastAsia="Georgia" w:hAnsi="Calibri" w:cs="Calibri"/>
          <w:sz w:val="22"/>
          <w:szCs w:val="22"/>
        </w:rPr>
      </w:pPr>
      <w:r w:rsidRPr="00D75C96">
        <w:rPr>
          <w:rFonts w:ascii="Calibri" w:eastAsia="Georgia" w:hAnsi="Calibri" w:cs="Calibri"/>
          <w:sz w:val="22"/>
          <w:szCs w:val="22"/>
        </w:rPr>
        <w:t>Sharing of information regarding the project and our findings through the GNAR Initiative website, blogs, social media, newspaper articles and op-eds, and other electronic and print media</w:t>
      </w:r>
      <w:r w:rsidR="005262B1" w:rsidRPr="00D75C96">
        <w:rPr>
          <w:rFonts w:ascii="Calibri" w:eastAsia="Georgia" w:hAnsi="Calibri" w:cs="Calibri"/>
          <w:sz w:val="22"/>
          <w:szCs w:val="22"/>
        </w:rPr>
        <w:t>, as well as through GNAR Initiative webinars</w:t>
      </w:r>
      <w:r w:rsidRPr="00D75C96">
        <w:rPr>
          <w:rFonts w:ascii="Calibri" w:eastAsia="Georgia" w:hAnsi="Calibri" w:cs="Calibri"/>
          <w:sz w:val="22"/>
          <w:szCs w:val="22"/>
        </w:rPr>
        <w:t>.</w:t>
      </w:r>
    </w:p>
    <w:p w14:paraId="523683CD" w14:textId="7CD4BD1C" w:rsidR="008C2CEE" w:rsidRPr="00D75C96" w:rsidRDefault="008C2CEE" w:rsidP="008C2CEE">
      <w:pPr>
        <w:pStyle w:val="BodyText"/>
        <w:numPr>
          <w:ilvl w:val="0"/>
          <w:numId w:val="13"/>
        </w:numPr>
        <w:ind w:left="720" w:right="461"/>
        <w:rPr>
          <w:rFonts w:ascii="Calibri" w:eastAsia="Georgia" w:hAnsi="Calibri" w:cs="Calibri"/>
          <w:sz w:val="22"/>
          <w:szCs w:val="22"/>
        </w:rPr>
      </w:pPr>
      <w:r w:rsidRPr="00D75C96">
        <w:rPr>
          <w:rFonts w:ascii="Calibri" w:eastAsia="Georgia" w:hAnsi="Calibri" w:cs="Calibri"/>
          <w:sz w:val="22"/>
          <w:szCs w:val="22"/>
        </w:rPr>
        <w:t>Presentations about the project and our research findings at the annual conferences of the Association of Collegiate Schools of Planning, American Planning Association, Transportation Research Board, and Mountain and Resort Town Planners Summit, a</w:t>
      </w:r>
      <w:r w:rsidR="00027C1C" w:rsidRPr="00D75C96">
        <w:rPr>
          <w:rFonts w:ascii="Calibri" w:eastAsia="Georgia" w:hAnsi="Calibri" w:cs="Calibri"/>
          <w:sz w:val="22"/>
          <w:szCs w:val="22"/>
        </w:rPr>
        <w:t>s well as</w:t>
      </w:r>
      <w:r w:rsidRPr="00D75C96">
        <w:rPr>
          <w:rFonts w:ascii="Calibri" w:eastAsia="Georgia" w:hAnsi="Calibri" w:cs="Calibri"/>
          <w:sz w:val="22"/>
          <w:szCs w:val="22"/>
        </w:rPr>
        <w:t xml:space="preserve"> via other in-person and virtual opportunities that arise.</w:t>
      </w:r>
    </w:p>
    <w:p w14:paraId="638D6C89" w14:textId="38B5DCBB" w:rsidR="00331C84" w:rsidRPr="00D75C96" w:rsidRDefault="008C2CEE" w:rsidP="00331C84">
      <w:pPr>
        <w:pStyle w:val="BodyText"/>
        <w:numPr>
          <w:ilvl w:val="0"/>
          <w:numId w:val="13"/>
        </w:numPr>
        <w:ind w:left="720" w:right="461"/>
        <w:rPr>
          <w:rFonts w:ascii="Calibri" w:eastAsia="Georgia" w:hAnsi="Calibri" w:cs="Calibri"/>
          <w:sz w:val="22"/>
          <w:szCs w:val="22"/>
        </w:rPr>
      </w:pPr>
      <w:r w:rsidRPr="00D75C96">
        <w:rPr>
          <w:rFonts w:ascii="Calibri" w:eastAsia="Georgia" w:hAnsi="Calibri" w:cs="Calibri"/>
          <w:sz w:val="22"/>
          <w:szCs w:val="22"/>
        </w:rPr>
        <w:t>Sharing our findings and lessons learned via a NITC webinar and/or at the Transportation and Communities Summit.</w:t>
      </w:r>
    </w:p>
    <w:p w14:paraId="137E43AE" w14:textId="6C331868" w:rsidR="00331C84" w:rsidRPr="00D75C96" w:rsidRDefault="00331C84" w:rsidP="00331C84">
      <w:pPr>
        <w:pStyle w:val="BodyText"/>
        <w:ind w:right="461"/>
        <w:rPr>
          <w:rFonts w:ascii="Calibri" w:eastAsia="Georgia" w:hAnsi="Calibri" w:cs="Calibri"/>
          <w:sz w:val="22"/>
          <w:szCs w:val="22"/>
        </w:rPr>
      </w:pPr>
      <w:r w:rsidRPr="00D75C96">
        <w:rPr>
          <w:rFonts w:ascii="Calibri" w:eastAsia="Georgia" w:hAnsi="Calibri" w:cs="Calibri"/>
          <w:sz w:val="22"/>
          <w:szCs w:val="22"/>
        </w:rPr>
        <w:t>We also anticipate pairing the results of this study with the results of our 2018 study to write a book on planning and development challenges in western gateway communities</w:t>
      </w:r>
      <w:r w:rsidR="00CB6678" w:rsidRPr="00D75C96">
        <w:rPr>
          <w:rFonts w:ascii="Calibri" w:eastAsia="Georgia" w:hAnsi="Calibri" w:cs="Calibri"/>
          <w:sz w:val="22"/>
          <w:szCs w:val="22"/>
        </w:rPr>
        <w:t xml:space="preserve"> and how amenity migration is changing the rural </w:t>
      </w:r>
      <w:r w:rsidR="00E3755F" w:rsidRPr="00D75C96">
        <w:rPr>
          <w:rFonts w:ascii="Calibri" w:eastAsia="Georgia" w:hAnsi="Calibri" w:cs="Calibri"/>
          <w:sz w:val="22"/>
          <w:szCs w:val="22"/>
        </w:rPr>
        <w:t>W</w:t>
      </w:r>
      <w:r w:rsidR="00CB6678" w:rsidRPr="00D75C96">
        <w:rPr>
          <w:rFonts w:ascii="Calibri" w:eastAsia="Georgia" w:hAnsi="Calibri" w:cs="Calibri"/>
          <w:sz w:val="22"/>
          <w:szCs w:val="22"/>
        </w:rPr>
        <w:t>est</w:t>
      </w:r>
      <w:r w:rsidRPr="00D75C96">
        <w:rPr>
          <w:rFonts w:ascii="Calibri" w:eastAsia="Georgia" w:hAnsi="Calibri" w:cs="Calibri"/>
          <w:sz w:val="22"/>
          <w:szCs w:val="22"/>
        </w:rPr>
        <w:t>.</w:t>
      </w:r>
    </w:p>
    <w:p w14:paraId="11416E80" w14:textId="77777777" w:rsidR="008C2CEE" w:rsidRPr="00D75C96" w:rsidRDefault="008C2CEE">
      <w:pPr>
        <w:suppressAutoHyphens w:val="0"/>
        <w:ind w:leftChars="0" w:left="0" w:firstLineChars="0" w:firstLine="0"/>
        <w:textDirection w:val="lrTb"/>
        <w:textAlignment w:val="auto"/>
        <w:outlineLvl w:val="9"/>
        <w:rPr>
          <w:rFonts w:ascii="Tw Cen MT Condensed Extra Bold" w:eastAsia="Times New Roman" w:hAnsi="Tw Cen MT Condensed Extra Bold" w:cs="Times New Roman"/>
          <w:color w:val="262626"/>
          <w:sz w:val="22"/>
          <w:szCs w:val="22"/>
        </w:rPr>
      </w:pPr>
      <w:r w:rsidRPr="00D75C96">
        <w:rPr>
          <w:sz w:val="22"/>
          <w:szCs w:val="22"/>
        </w:rPr>
        <w:br w:type="page"/>
      </w:r>
    </w:p>
    <w:p w14:paraId="0D31A5B5" w14:textId="3059C927" w:rsidR="008020AB" w:rsidRPr="00987577" w:rsidRDefault="005F6EC4" w:rsidP="004076AD">
      <w:pPr>
        <w:pStyle w:val="Heading1"/>
        <w:tabs>
          <w:tab w:val="left" w:pos="360"/>
        </w:tabs>
        <w:ind w:leftChars="0" w:left="1" w:firstLineChars="0" w:firstLine="0"/>
      </w:pPr>
      <w:r>
        <w:lastRenderedPageBreak/>
        <w:t xml:space="preserve">TECHNOLOGY TRANSFER </w:t>
      </w:r>
    </w:p>
    <w:p w14:paraId="662B1CE2" w14:textId="77777777" w:rsidR="002B73D0" w:rsidRPr="00D75C96" w:rsidRDefault="005F6EC4" w:rsidP="002B73D0">
      <w:pPr>
        <w:spacing w:after="120"/>
        <w:ind w:leftChars="0" w:left="2" w:hanging="2"/>
        <w:rPr>
          <w:i/>
          <w:iCs/>
          <w:sz w:val="22"/>
          <w:szCs w:val="22"/>
        </w:rPr>
      </w:pPr>
      <w:r w:rsidRPr="00D75C96">
        <w:rPr>
          <w:b/>
          <w:i/>
          <w:iCs/>
          <w:sz w:val="22"/>
          <w:szCs w:val="22"/>
        </w:rPr>
        <w:t xml:space="preserve">8a. </w:t>
      </w:r>
      <w:r w:rsidRPr="00D75C96">
        <w:rPr>
          <w:i/>
          <w:iCs/>
          <w:sz w:val="22"/>
          <w:szCs w:val="22"/>
        </w:rPr>
        <w:t>What level will this project reach on NITC’s Technical Readiness Level scale (included in the RFP)? Provide justification.</w:t>
      </w:r>
    </w:p>
    <w:p w14:paraId="02B01A52" w14:textId="51F77471" w:rsidR="008020AB" w:rsidRPr="00D75C96" w:rsidRDefault="002B73D0" w:rsidP="00014CAE">
      <w:pPr>
        <w:spacing w:after="120" w:line="240" w:lineRule="auto"/>
        <w:ind w:leftChars="0" w:left="2" w:hanging="2"/>
        <w:rPr>
          <w:i/>
          <w:iCs/>
          <w:sz w:val="22"/>
          <w:szCs w:val="22"/>
        </w:rPr>
      </w:pPr>
      <w:r w:rsidRPr="00D75C96">
        <w:rPr>
          <w:rFonts w:ascii="Calibri" w:hAnsi="Calibri" w:cs="Calibri"/>
          <w:sz w:val="22"/>
          <w:szCs w:val="22"/>
        </w:rPr>
        <w:t>Based on our understanding of the TRL provided in the RFP</w:t>
      </w:r>
      <w:r w:rsidR="00987577" w:rsidRPr="00D75C96">
        <w:rPr>
          <w:rFonts w:ascii="Calibri" w:hAnsi="Calibri" w:cs="Calibri"/>
          <w:sz w:val="22"/>
          <w:szCs w:val="22"/>
        </w:rPr>
        <w:t>, we believe this project is somewhere in the 4-5 range, since it is focused on further understanding a phenomenon we have documented through prior research and translating research into concrete local, regional, and national planning, policy, and investment recommendations.</w:t>
      </w:r>
    </w:p>
    <w:p w14:paraId="38EE72CA" w14:textId="77777777" w:rsidR="008020AB" w:rsidRPr="00D75C96" w:rsidRDefault="005F6EC4">
      <w:pPr>
        <w:ind w:left="0" w:hanging="2"/>
        <w:rPr>
          <w:i/>
          <w:iCs/>
          <w:sz w:val="22"/>
          <w:szCs w:val="22"/>
        </w:rPr>
      </w:pPr>
      <w:r w:rsidRPr="00D75C96">
        <w:rPr>
          <w:b/>
          <w:i/>
          <w:iCs/>
          <w:sz w:val="22"/>
          <w:szCs w:val="22"/>
        </w:rPr>
        <w:t xml:space="preserve">8b. </w:t>
      </w:r>
      <w:r w:rsidRPr="00D75C96">
        <w:rPr>
          <w:i/>
          <w:iCs/>
          <w:sz w:val="22"/>
          <w:szCs w:val="22"/>
        </w:rPr>
        <w:t>Who are the intended users of this research? Select all that apply.</w:t>
      </w:r>
      <w:r w:rsidRPr="00D75C96">
        <w:rPr>
          <w:b/>
          <w:i/>
          <w:iCs/>
          <w:sz w:val="22"/>
          <w:szCs w:val="22"/>
        </w:rPr>
        <w:t xml:space="preserve"> </w:t>
      </w:r>
    </w:p>
    <w:tbl>
      <w:tblPr>
        <w:tblStyle w:val="a8"/>
        <w:tblW w:w="9265"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
        <w:gridCol w:w="1167"/>
        <w:gridCol w:w="372"/>
        <w:gridCol w:w="372"/>
        <w:gridCol w:w="1385"/>
        <w:gridCol w:w="450"/>
        <w:gridCol w:w="360"/>
        <w:gridCol w:w="2070"/>
        <w:gridCol w:w="360"/>
        <w:gridCol w:w="360"/>
        <w:gridCol w:w="2070"/>
      </w:tblGrid>
      <w:tr w:rsidR="008020AB" w:rsidRPr="00D75C96" w14:paraId="0F795771" w14:textId="77777777">
        <w:tc>
          <w:tcPr>
            <w:tcW w:w="299" w:type="dxa"/>
            <w:tcBorders>
              <w:top w:val="single" w:sz="4" w:space="0" w:color="000000"/>
              <w:left w:val="single" w:sz="4" w:space="0" w:color="000000"/>
              <w:bottom w:val="single" w:sz="4" w:space="0" w:color="000000"/>
              <w:right w:val="single" w:sz="4" w:space="0" w:color="000000"/>
            </w:tcBorders>
          </w:tcPr>
          <w:p w14:paraId="2EB66F4D" w14:textId="3A71E15A" w:rsidR="008020AB" w:rsidRPr="00D75C96" w:rsidRDefault="003C69BD">
            <w:pPr>
              <w:spacing w:after="0" w:line="240" w:lineRule="auto"/>
              <w:ind w:left="0" w:hanging="2"/>
              <w:jc w:val="center"/>
              <w:rPr>
                <w:sz w:val="22"/>
                <w:szCs w:val="22"/>
              </w:rPr>
            </w:pPr>
            <w:r w:rsidRPr="00D75C96">
              <w:rPr>
                <w:sz w:val="22"/>
                <w:szCs w:val="22"/>
              </w:rPr>
              <w:t>X</w:t>
            </w:r>
          </w:p>
        </w:tc>
        <w:tc>
          <w:tcPr>
            <w:tcW w:w="1167" w:type="dxa"/>
            <w:tcBorders>
              <w:top w:val="nil"/>
              <w:left w:val="single" w:sz="4" w:space="0" w:color="000000"/>
              <w:bottom w:val="nil"/>
              <w:right w:val="nil"/>
            </w:tcBorders>
          </w:tcPr>
          <w:p w14:paraId="27D8A521" w14:textId="77777777" w:rsidR="008020AB" w:rsidRPr="00D75C96" w:rsidRDefault="005F6EC4">
            <w:pPr>
              <w:spacing w:after="0" w:line="240" w:lineRule="auto"/>
              <w:ind w:left="0" w:hanging="2"/>
              <w:rPr>
                <w:sz w:val="22"/>
                <w:szCs w:val="22"/>
              </w:rPr>
            </w:pPr>
            <w:r w:rsidRPr="00D75C96">
              <w:rPr>
                <w:sz w:val="22"/>
                <w:szCs w:val="22"/>
              </w:rPr>
              <w:t>Practitioner</w:t>
            </w:r>
          </w:p>
        </w:tc>
        <w:tc>
          <w:tcPr>
            <w:tcW w:w="372" w:type="dxa"/>
            <w:tcBorders>
              <w:top w:val="nil"/>
              <w:left w:val="nil"/>
              <w:bottom w:val="nil"/>
              <w:right w:val="single" w:sz="4" w:space="0" w:color="000000"/>
            </w:tcBorders>
          </w:tcPr>
          <w:p w14:paraId="3D43B9C1" w14:textId="77777777" w:rsidR="008020AB" w:rsidRPr="00D75C96" w:rsidRDefault="008020AB">
            <w:pPr>
              <w:spacing w:after="0" w:line="240" w:lineRule="auto"/>
              <w:ind w:left="0" w:hanging="2"/>
              <w:rPr>
                <w:sz w:val="22"/>
                <w:szCs w:val="22"/>
              </w:rPr>
            </w:pPr>
          </w:p>
        </w:tc>
        <w:tc>
          <w:tcPr>
            <w:tcW w:w="372" w:type="dxa"/>
            <w:tcBorders>
              <w:top w:val="single" w:sz="4" w:space="0" w:color="000000"/>
              <w:left w:val="single" w:sz="4" w:space="0" w:color="000000"/>
              <w:bottom w:val="single" w:sz="4" w:space="0" w:color="000000"/>
              <w:right w:val="single" w:sz="4" w:space="0" w:color="000000"/>
            </w:tcBorders>
          </w:tcPr>
          <w:p w14:paraId="6A3A07FD" w14:textId="3DDF1EC6" w:rsidR="008020AB" w:rsidRPr="00D75C96" w:rsidRDefault="003C69BD">
            <w:pPr>
              <w:spacing w:after="0" w:line="240" w:lineRule="auto"/>
              <w:ind w:left="0" w:hanging="2"/>
              <w:jc w:val="center"/>
              <w:rPr>
                <w:sz w:val="22"/>
                <w:szCs w:val="22"/>
              </w:rPr>
            </w:pPr>
            <w:r w:rsidRPr="00D75C96">
              <w:rPr>
                <w:sz w:val="22"/>
                <w:szCs w:val="22"/>
              </w:rPr>
              <w:t>X</w:t>
            </w:r>
          </w:p>
        </w:tc>
        <w:tc>
          <w:tcPr>
            <w:tcW w:w="1385" w:type="dxa"/>
            <w:tcBorders>
              <w:top w:val="nil"/>
              <w:left w:val="single" w:sz="4" w:space="0" w:color="000000"/>
              <w:bottom w:val="nil"/>
              <w:right w:val="nil"/>
            </w:tcBorders>
          </w:tcPr>
          <w:p w14:paraId="4F515DCF" w14:textId="77777777" w:rsidR="008020AB" w:rsidRPr="00D75C96" w:rsidRDefault="005F6EC4">
            <w:pPr>
              <w:spacing w:after="0" w:line="240" w:lineRule="auto"/>
              <w:ind w:left="0" w:hanging="2"/>
              <w:rPr>
                <w:sz w:val="22"/>
                <w:szCs w:val="22"/>
              </w:rPr>
            </w:pPr>
            <w:r w:rsidRPr="00D75C96">
              <w:rPr>
                <w:sz w:val="22"/>
                <w:szCs w:val="22"/>
              </w:rPr>
              <w:t>Policy Maker</w:t>
            </w:r>
          </w:p>
        </w:tc>
        <w:tc>
          <w:tcPr>
            <w:tcW w:w="450" w:type="dxa"/>
            <w:tcBorders>
              <w:top w:val="nil"/>
              <w:left w:val="nil"/>
              <w:bottom w:val="nil"/>
              <w:right w:val="single" w:sz="4" w:space="0" w:color="000000"/>
            </w:tcBorders>
          </w:tcPr>
          <w:p w14:paraId="7F88B36C" w14:textId="77777777" w:rsidR="008020AB" w:rsidRPr="00D75C96" w:rsidRDefault="008020AB">
            <w:pPr>
              <w:spacing w:after="0" w:line="240" w:lineRule="auto"/>
              <w:ind w:left="0" w:hanging="2"/>
              <w:rPr>
                <w:sz w:val="22"/>
                <w:szCs w:val="22"/>
              </w:rPr>
            </w:pPr>
          </w:p>
        </w:tc>
        <w:tc>
          <w:tcPr>
            <w:tcW w:w="360" w:type="dxa"/>
            <w:tcBorders>
              <w:top w:val="single" w:sz="4" w:space="0" w:color="000000"/>
              <w:left w:val="single" w:sz="4" w:space="0" w:color="000000"/>
              <w:bottom w:val="single" w:sz="4" w:space="0" w:color="000000"/>
              <w:right w:val="single" w:sz="4" w:space="0" w:color="000000"/>
            </w:tcBorders>
          </w:tcPr>
          <w:p w14:paraId="3A5845A6" w14:textId="33AC6D0B" w:rsidR="008020AB" w:rsidRPr="00D75C96" w:rsidRDefault="003C69BD">
            <w:pPr>
              <w:spacing w:after="0" w:line="240" w:lineRule="auto"/>
              <w:ind w:left="0" w:hanging="2"/>
              <w:rPr>
                <w:sz w:val="22"/>
                <w:szCs w:val="22"/>
              </w:rPr>
            </w:pPr>
            <w:r w:rsidRPr="00D75C96">
              <w:rPr>
                <w:sz w:val="22"/>
                <w:szCs w:val="22"/>
              </w:rPr>
              <w:t>X</w:t>
            </w:r>
          </w:p>
        </w:tc>
        <w:tc>
          <w:tcPr>
            <w:tcW w:w="2070" w:type="dxa"/>
            <w:tcBorders>
              <w:top w:val="nil"/>
              <w:left w:val="single" w:sz="4" w:space="0" w:color="000000"/>
              <w:bottom w:val="nil"/>
              <w:right w:val="nil"/>
            </w:tcBorders>
          </w:tcPr>
          <w:p w14:paraId="6774BE41" w14:textId="77777777" w:rsidR="008020AB" w:rsidRPr="00D75C96" w:rsidRDefault="005F6EC4">
            <w:pPr>
              <w:spacing w:after="0" w:line="240" w:lineRule="auto"/>
              <w:ind w:left="0" w:hanging="2"/>
              <w:rPr>
                <w:sz w:val="22"/>
                <w:szCs w:val="22"/>
              </w:rPr>
            </w:pPr>
            <w:r w:rsidRPr="00D75C96">
              <w:rPr>
                <w:sz w:val="22"/>
                <w:szCs w:val="22"/>
              </w:rPr>
              <w:t>Researcher/Academic</w:t>
            </w:r>
          </w:p>
        </w:tc>
        <w:tc>
          <w:tcPr>
            <w:tcW w:w="360" w:type="dxa"/>
            <w:tcBorders>
              <w:top w:val="nil"/>
              <w:left w:val="nil"/>
              <w:bottom w:val="nil"/>
              <w:right w:val="single" w:sz="4" w:space="0" w:color="000000"/>
            </w:tcBorders>
          </w:tcPr>
          <w:p w14:paraId="04B3B25C" w14:textId="77777777" w:rsidR="008020AB" w:rsidRPr="00D75C96" w:rsidRDefault="008020AB">
            <w:pPr>
              <w:spacing w:after="0" w:line="240" w:lineRule="auto"/>
              <w:ind w:left="0" w:hanging="2"/>
              <w:rPr>
                <w:sz w:val="22"/>
                <w:szCs w:val="22"/>
              </w:rPr>
            </w:pPr>
          </w:p>
        </w:tc>
        <w:tc>
          <w:tcPr>
            <w:tcW w:w="360" w:type="dxa"/>
            <w:tcBorders>
              <w:top w:val="single" w:sz="4" w:space="0" w:color="000000"/>
              <w:left w:val="single" w:sz="4" w:space="0" w:color="000000"/>
              <w:bottom w:val="single" w:sz="4" w:space="0" w:color="000000"/>
              <w:right w:val="single" w:sz="4" w:space="0" w:color="000000"/>
            </w:tcBorders>
          </w:tcPr>
          <w:p w14:paraId="7CCE38BA" w14:textId="78E01409" w:rsidR="008020AB" w:rsidRPr="00D75C96" w:rsidRDefault="003C69BD">
            <w:pPr>
              <w:spacing w:after="0" w:line="240" w:lineRule="auto"/>
              <w:ind w:left="0" w:hanging="2"/>
              <w:jc w:val="center"/>
              <w:rPr>
                <w:sz w:val="22"/>
                <w:szCs w:val="22"/>
              </w:rPr>
            </w:pPr>
            <w:r w:rsidRPr="00D75C96">
              <w:rPr>
                <w:sz w:val="22"/>
                <w:szCs w:val="22"/>
              </w:rPr>
              <w:t>X</w:t>
            </w:r>
          </w:p>
        </w:tc>
        <w:tc>
          <w:tcPr>
            <w:tcW w:w="2070" w:type="dxa"/>
            <w:tcBorders>
              <w:top w:val="nil"/>
              <w:left w:val="single" w:sz="4" w:space="0" w:color="000000"/>
              <w:bottom w:val="nil"/>
              <w:right w:val="nil"/>
            </w:tcBorders>
          </w:tcPr>
          <w:p w14:paraId="0E633873" w14:textId="77777777" w:rsidR="008020AB" w:rsidRPr="00D75C96" w:rsidRDefault="005F6EC4">
            <w:pPr>
              <w:spacing w:after="0" w:line="240" w:lineRule="auto"/>
              <w:ind w:left="0" w:hanging="2"/>
              <w:rPr>
                <w:sz w:val="22"/>
                <w:szCs w:val="22"/>
              </w:rPr>
            </w:pPr>
            <w:r w:rsidRPr="00D75C96">
              <w:rPr>
                <w:sz w:val="22"/>
                <w:szCs w:val="22"/>
              </w:rPr>
              <w:t>Engineer/Designer</w:t>
            </w:r>
          </w:p>
        </w:tc>
      </w:tr>
      <w:tr w:rsidR="008020AB" w:rsidRPr="00D75C96" w14:paraId="03BB46BE" w14:textId="77777777">
        <w:tc>
          <w:tcPr>
            <w:tcW w:w="299" w:type="dxa"/>
            <w:tcBorders>
              <w:top w:val="single" w:sz="4" w:space="0" w:color="000000"/>
              <w:left w:val="nil"/>
              <w:bottom w:val="single" w:sz="4" w:space="0" w:color="000000"/>
              <w:right w:val="nil"/>
            </w:tcBorders>
          </w:tcPr>
          <w:p w14:paraId="3D1C3E5A" w14:textId="77777777" w:rsidR="008020AB" w:rsidRPr="00D75C96" w:rsidRDefault="008020AB">
            <w:pPr>
              <w:spacing w:after="0" w:line="240" w:lineRule="auto"/>
              <w:ind w:left="0" w:hanging="2"/>
              <w:jc w:val="center"/>
              <w:rPr>
                <w:sz w:val="22"/>
                <w:szCs w:val="22"/>
              </w:rPr>
            </w:pPr>
          </w:p>
        </w:tc>
        <w:tc>
          <w:tcPr>
            <w:tcW w:w="1167" w:type="dxa"/>
            <w:tcBorders>
              <w:top w:val="nil"/>
              <w:left w:val="nil"/>
              <w:bottom w:val="nil"/>
              <w:right w:val="nil"/>
            </w:tcBorders>
          </w:tcPr>
          <w:p w14:paraId="7F90D44A" w14:textId="77777777" w:rsidR="008020AB" w:rsidRPr="00D75C96" w:rsidRDefault="008020AB">
            <w:pPr>
              <w:spacing w:after="0" w:line="240" w:lineRule="auto"/>
              <w:ind w:left="0" w:hanging="2"/>
              <w:rPr>
                <w:sz w:val="22"/>
                <w:szCs w:val="22"/>
              </w:rPr>
            </w:pPr>
          </w:p>
        </w:tc>
        <w:tc>
          <w:tcPr>
            <w:tcW w:w="372" w:type="dxa"/>
            <w:tcBorders>
              <w:top w:val="nil"/>
              <w:left w:val="nil"/>
              <w:bottom w:val="nil"/>
              <w:right w:val="nil"/>
            </w:tcBorders>
          </w:tcPr>
          <w:p w14:paraId="722D13AA" w14:textId="77777777" w:rsidR="008020AB" w:rsidRPr="00D75C96" w:rsidRDefault="008020AB">
            <w:pPr>
              <w:spacing w:after="0" w:line="240" w:lineRule="auto"/>
              <w:ind w:left="0" w:hanging="2"/>
              <w:rPr>
                <w:sz w:val="22"/>
                <w:szCs w:val="22"/>
              </w:rPr>
            </w:pPr>
          </w:p>
        </w:tc>
        <w:tc>
          <w:tcPr>
            <w:tcW w:w="372" w:type="dxa"/>
            <w:tcBorders>
              <w:top w:val="single" w:sz="4" w:space="0" w:color="000000"/>
              <w:left w:val="nil"/>
              <w:bottom w:val="single" w:sz="4" w:space="0" w:color="000000"/>
              <w:right w:val="nil"/>
            </w:tcBorders>
          </w:tcPr>
          <w:p w14:paraId="46585978" w14:textId="77777777" w:rsidR="008020AB" w:rsidRPr="00D75C96" w:rsidRDefault="008020AB">
            <w:pPr>
              <w:spacing w:after="0" w:line="240" w:lineRule="auto"/>
              <w:ind w:left="0" w:hanging="2"/>
              <w:jc w:val="center"/>
              <w:rPr>
                <w:sz w:val="22"/>
                <w:szCs w:val="22"/>
              </w:rPr>
            </w:pPr>
          </w:p>
        </w:tc>
        <w:tc>
          <w:tcPr>
            <w:tcW w:w="1385" w:type="dxa"/>
            <w:tcBorders>
              <w:top w:val="nil"/>
              <w:left w:val="nil"/>
              <w:bottom w:val="nil"/>
              <w:right w:val="nil"/>
            </w:tcBorders>
          </w:tcPr>
          <w:p w14:paraId="466D1C0C" w14:textId="77777777" w:rsidR="008020AB" w:rsidRPr="00D75C96" w:rsidRDefault="008020AB">
            <w:pPr>
              <w:spacing w:after="0" w:line="240" w:lineRule="auto"/>
              <w:ind w:left="0" w:hanging="2"/>
              <w:rPr>
                <w:sz w:val="22"/>
                <w:szCs w:val="22"/>
              </w:rPr>
            </w:pPr>
          </w:p>
        </w:tc>
        <w:tc>
          <w:tcPr>
            <w:tcW w:w="450" w:type="dxa"/>
            <w:tcBorders>
              <w:top w:val="nil"/>
              <w:left w:val="nil"/>
              <w:bottom w:val="nil"/>
              <w:right w:val="nil"/>
            </w:tcBorders>
          </w:tcPr>
          <w:p w14:paraId="62D9CED3" w14:textId="77777777" w:rsidR="008020AB" w:rsidRPr="00D75C96" w:rsidRDefault="008020AB">
            <w:pPr>
              <w:spacing w:after="0" w:line="240" w:lineRule="auto"/>
              <w:ind w:left="0" w:hanging="2"/>
              <w:rPr>
                <w:sz w:val="22"/>
                <w:szCs w:val="22"/>
              </w:rPr>
            </w:pPr>
          </w:p>
        </w:tc>
        <w:tc>
          <w:tcPr>
            <w:tcW w:w="360" w:type="dxa"/>
            <w:tcBorders>
              <w:top w:val="single" w:sz="4" w:space="0" w:color="000000"/>
              <w:left w:val="nil"/>
              <w:bottom w:val="single" w:sz="4" w:space="0" w:color="000000"/>
              <w:right w:val="nil"/>
            </w:tcBorders>
          </w:tcPr>
          <w:p w14:paraId="58E06605" w14:textId="77777777" w:rsidR="008020AB" w:rsidRPr="00D75C96" w:rsidRDefault="008020AB">
            <w:pPr>
              <w:spacing w:after="0" w:line="240" w:lineRule="auto"/>
              <w:ind w:left="0" w:hanging="2"/>
              <w:rPr>
                <w:sz w:val="22"/>
                <w:szCs w:val="22"/>
              </w:rPr>
            </w:pPr>
          </w:p>
        </w:tc>
        <w:tc>
          <w:tcPr>
            <w:tcW w:w="2070" w:type="dxa"/>
            <w:tcBorders>
              <w:top w:val="nil"/>
              <w:left w:val="nil"/>
              <w:bottom w:val="nil"/>
              <w:right w:val="nil"/>
            </w:tcBorders>
          </w:tcPr>
          <w:p w14:paraId="33B6A0D7" w14:textId="77777777" w:rsidR="008020AB" w:rsidRPr="00D75C96" w:rsidRDefault="008020AB">
            <w:pPr>
              <w:spacing w:after="0" w:line="240" w:lineRule="auto"/>
              <w:ind w:left="0" w:hanging="2"/>
              <w:rPr>
                <w:sz w:val="22"/>
                <w:szCs w:val="22"/>
              </w:rPr>
            </w:pPr>
          </w:p>
        </w:tc>
        <w:tc>
          <w:tcPr>
            <w:tcW w:w="360" w:type="dxa"/>
            <w:tcBorders>
              <w:top w:val="nil"/>
              <w:left w:val="nil"/>
              <w:bottom w:val="nil"/>
              <w:right w:val="nil"/>
            </w:tcBorders>
          </w:tcPr>
          <w:p w14:paraId="0045157A" w14:textId="77777777" w:rsidR="008020AB" w:rsidRPr="00D75C96" w:rsidRDefault="008020AB">
            <w:pPr>
              <w:spacing w:after="0" w:line="240" w:lineRule="auto"/>
              <w:ind w:left="0" w:hanging="2"/>
              <w:rPr>
                <w:sz w:val="22"/>
                <w:szCs w:val="22"/>
              </w:rPr>
            </w:pPr>
          </w:p>
        </w:tc>
        <w:tc>
          <w:tcPr>
            <w:tcW w:w="360" w:type="dxa"/>
            <w:tcBorders>
              <w:top w:val="single" w:sz="4" w:space="0" w:color="000000"/>
              <w:left w:val="nil"/>
              <w:bottom w:val="nil"/>
              <w:right w:val="nil"/>
            </w:tcBorders>
          </w:tcPr>
          <w:p w14:paraId="755593BA" w14:textId="77777777" w:rsidR="008020AB" w:rsidRPr="00D75C96" w:rsidRDefault="008020AB">
            <w:pPr>
              <w:spacing w:after="0" w:line="240" w:lineRule="auto"/>
              <w:ind w:left="0" w:hanging="2"/>
              <w:jc w:val="center"/>
              <w:rPr>
                <w:sz w:val="22"/>
                <w:szCs w:val="22"/>
              </w:rPr>
            </w:pPr>
          </w:p>
        </w:tc>
        <w:tc>
          <w:tcPr>
            <w:tcW w:w="2070" w:type="dxa"/>
            <w:tcBorders>
              <w:top w:val="nil"/>
              <w:left w:val="nil"/>
              <w:bottom w:val="nil"/>
              <w:right w:val="nil"/>
            </w:tcBorders>
          </w:tcPr>
          <w:p w14:paraId="6F113F6E" w14:textId="77777777" w:rsidR="008020AB" w:rsidRPr="00D75C96" w:rsidRDefault="008020AB">
            <w:pPr>
              <w:spacing w:after="0" w:line="240" w:lineRule="auto"/>
              <w:ind w:left="0" w:hanging="2"/>
              <w:rPr>
                <w:sz w:val="22"/>
                <w:szCs w:val="22"/>
              </w:rPr>
            </w:pPr>
          </w:p>
        </w:tc>
      </w:tr>
      <w:tr w:rsidR="008020AB" w:rsidRPr="00D75C96" w14:paraId="4EE85946" w14:textId="77777777">
        <w:tc>
          <w:tcPr>
            <w:tcW w:w="299" w:type="dxa"/>
            <w:tcBorders>
              <w:top w:val="single" w:sz="4" w:space="0" w:color="000000"/>
              <w:left w:val="single" w:sz="4" w:space="0" w:color="000000"/>
              <w:bottom w:val="single" w:sz="4" w:space="0" w:color="000000"/>
              <w:right w:val="single" w:sz="4" w:space="0" w:color="000000"/>
            </w:tcBorders>
          </w:tcPr>
          <w:p w14:paraId="42958A2A" w14:textId="476DA3B1" w:rsidR="008020AB" w:rsidRPr="00D75C96" w:rsidRDefault="003C69BD">
            <w:pPr>
              <w:spacing w:after="0" w:line="240" w:lineRule="auto"/>
              <w:ind w:left="0" w:hanging="2"/>
              <w:jc w:val="center"/>
              <w:rPr>
                <w:sz w:val="22"/>
                <w:szCs w:val="22"/>
              </w:rPr>
            </w:pPr>
            <w:r w:rsidRPr="00D75C96">
              <w:rPr>
                <w:sz w:val="22"/>
                <w:szCs w:val="22"/>
              </w:rPr>
              <w:t>X</w:t>
            </w:r>
          </w:p>
        </w:tc>
        <w:tc>
          <w:tcPr>
            <w:tcW w:w="1167" w:type="dxa"/>
            <w:tcBorders>
              <w:top w:val="nil"/>
              <w:left w:val="single" w:sz="4" w:space="0" w:color="000000"/>
              <w:bottom w:val="nil"/>
              <w:right w:val="nil"/>
            </w:tcBorders>
          </w:tcPr>
          <w:p w14:paraId="7DE24E5D" w14:textId="77777777" w:rsidR="008020AB" w:rsidRPr="00D75C96" w:rsidRDefault="005F6EC4">
            <w:pPr>
              <w:spacing w:after="0" w:line="240" w:lineRule="auto"/>
              <w:ind w:left="0" w:hanging="2"/>
              <w:rPr>
                <w:sz w:val="22"/>
                <w:szCs w:val="22"/>
              </w:rPr>
            </w:pPr>
            <w:r w:rsidRPr="00D75C96">
              <w:rPr>
                <w:sz w:val="22"/>
                <w:szCs w:val="22"/>
              </w:rPr>
              <w:t>Operations</w:t>
            </w:r>
          </w:p>
        </w:tc>
        <w:tc>
          <w:tcPr>
            <w:tcW w:w="372" w:type="dxa"/>
            <w:tcBorders>
              <w:top w:val="nil"/>
              <w:left w:val="nil"/>
              <w:bottom w:val="nil"/>
              <w:right w:val="single" w:sz="4" w:space="0" w:color="000000"/>
            </w:tcBorders>
          </w:tcPr>
          <w:p w14:paraId="6DE52F35" w14:textId="77777777" w:rsidR="008020AB" w:rsidRPr="00D75C96" w:rsidRDefault="008020AB">
            <w:pPr>
              <w:spacing w:after="0" w:line="240" w:lineRule="auto"/>
              <w:ind w:left="0" w:hanging="2"/>
              <w:rPr>
                <w:sz w:val="22"/>
                <w:szCs w:val="22"/>
              </w:rPr>
            </w:pPr>
          </w:p>
        </w:tc>
        <w:tc>
          <w:tcPr>
            <w:tcW w:w="372" w:type="dxa"/>
            <w:tcBorders>
              <w:top w:val="single" w:sz="4" w:space="0" w:color="000000"/>
              <w:left w:val="single" w:sz="4" w:space="0" w:color="000000"/>
              <w:bottom w:val="single" w:sz="4" w:space="0" w:color="000000"/>
              <w:right w:val="single" w:sz="4" w:space="0" w:color="000000"/>
            </w:tcBorders>
          </w:tcPr>
          <w:p w14:paraId="0C50F3FA" w14:textId="542D920B" w:rsidR="008020AB" w:rsidRPr="00D75C96" w:rsidRDefault="003C69BD">
            <w:pPr>
              <w:spacing w:after="0" w:line="240" w:lineRule="auto"/>
              <w:ind w:left="0" w:hanging="2"/>
              <w:rPr>
                <w:sz w:val="22"/>
                <w:szCs w:val="22"/>
              </w:rPr>
            </w:pPr>
            <w:r w:rsidRPr="00D75C96">
              <w:rPr>
                <w:sz w:val="22"/>
                <w:szCs w:val="22"/>
              </w:rPr>
              <w:t>X</w:t>
            </w:r>
          </w:p>
        </w:tc>
        <w:tc>
          <w:tcPr>
            <w:tcW w:w="1385" w:type="dxa"/>
            <w:tcBorders>
              <w:top w:val="nil"/>
              <w:left w:val="single" w:sz="4" w:space="0" w:color="000000"/>
              <w:bottom w:val="nil"/>
              <w:right w:val="nil"/>
            </w:tcBorders>
          </w:tcPr>
          <w:p w14:paraId="18AC6AB5" w14:textId="77777777" w:rsidR="008020AB" w:rsidRPr="00D75C96" w:rsidRDefault="005F6EC4">
            <w:pPr>
              <w:spacing w:after="0" w:line="240" w:lineRule="auto"/>
              <w:ind w:left="0" w:hanging="2"/>
              <w:rPr>
                <w:sz w:val="22"/>
                <w:szCs w:val="22"/>
              </w:rPr>
            </w:pPr>
            <w:r w:rsidRPr="00D75C96">
              <w:rPr>
                <w:sz w:val="22"/>
                <w:szCs w:val="22"/>
              </w:rPr>
              <w:t>Planner</w:t>
            </w:r>
          </w:p>
        </w:tc>
        <w:tc>
          <w:tcPr>
            <w:tcW w:w="450" w:type="dxa"/>
            <w:tcBorders>
              <w:top w:val="nil"/>
              <w:left w:val="nil"/>
              <w:bottom w:val="nil"/>
              <w:right w:val="single" w:sz="4" w:space="0" w:color="000000"/>
            </w:tcBorders>
          </w:tcPr>
          <w:p w14:paraId="29864DAA" w14:textId="77777777" w:rsidR="008020AB" w:rsidRPr="00D75C96" w:rsidRDefault="008020AB">
            <w:pPr>
              <w:spacing w:after="0" w:line="240" w:lineRule="auto"/>
              <w:ind w:left="0" w:hanging="2"/>
              <w:rPr>
                <w:sz w:val="22"/>
                <w:szCs w:val="22"/>
              </w:rPr>
            </w:pPr>
          </w:p>
        </w:tc>
        <w:tc>
          <w:tcPr>
            <w:tcW w:w="360" w:type="dxa"/>
            <w:tcBorders>
              <w:top w:val="single" w:sz="4" w:space="0" w:color="000000"/>
              <w:left w:val="single" w:sz="4" w:space="0" w:color="000000"/>
              <w:bottom w:val="single" w:sz="4" w:space="0" w:color="000000"/>
              <w:right w:val="single" w:sz="4" w:space="0" w:color="000000"/>
            </w:tcBorders>
          </w:tcPr>
          <w:p w14:paraId="205E372B" w14:textId="206F6A1D" w:rsidR="008020AB" w:rsidRPr="00D75C96" w:rsidRDefault="00987577">
            <w:pPr>
              <w:spacing w:after="0" w:line="240" w:lineRule="auto"/>
              <w:ind w:left="0" w:hanging="2"/>
              <w:rPr>
                <w:sz w:val="22"/>
                <w:szCs w:val="22"/>
              </w:rPr>
            </w:pPr>
            <w:r w:rsidRPr="00D75C96">
              <w:rPr>
                <w:sz w:val="22"/>
                <w:szCs w:val="22"/>
              </w:rPr>
              <w:t>X</w:t>
            </w:r>
          </w:p>
        </w:tc>
        <w:tc>
          <w:tcPr>
            <w:tcW w:w="4860" w:type="dxa"/>
            <w:gridSpan w:val="4"/>
            <w:tcBorders>
              <w:top w:val="nil"/>
              <w:left w:val="single" w:sz="4" w:space="0" w:color="000000"/>
              <w:bottom w:val="nil"/>
              <w:right w:val="nil"/>
            </w:tcBorders>
          </w:tcPr>
          <w:p w14:paraId="5977403D" w14:textId="4AD56663" w:rsidR="008020AB" w:rsidRPr="00D75C96" w:rsidRDefault="005F6EC4">
            <w:pPr>
              <w:spacing w:after="0" w:line="240" w:lineRule="auto"/>
              <w:ind w:left="0" w:hanging="2"/>
              <w:rPr>
                <w:sz w:val="22"/>
                <w:szCs w:val="22"/>
              </w:rPr>
            </w:pPr>
            <w:r w:rsidRPr="00D75C96">
              <w:rPr>
                <w:sz w:val="22"/>
                <w:szCs w:val="22"/>
              </w:rPr>
              <w:t>Other:</w:t>
            </w:r>
            <w:r w:rsidR="00987577" w:rsidRPr="00D75C96">
              <w:rPr>
                <w:sz w:val="22"/>
                <w:szCs w:val="22"/>
              </w:rPr>
              <w:t xml:space="preserve"> </w:t>
            </w:r>
            <w:proofErr w:type="gramStart"/>
            <w:r w:rsidR="00987577" w:rsidRPr="00D75C96">
              <w:rPr>
                <w:sz w:val="22"/>
                <w:szCs w:val="22"/>
              </w:rPr>
              <w:t>general public</w:t>
            </w:r>
            <w:proofErr w:type="gramEnd"/>
            <w:r w:rsidR="00014CAE" w:rsidRPr="00D75C96">
              <w:rPr>
                <w:sz w:val="22"/>
                <w:szCs w:val="22"/>
              </w:rPr>
              <w:t>;</w:t>
            </w:r>
            <w:r w:rsidR="00987577" w:rsidRPr="00D75C96">
              <w:rPr>
                <w:sz w:val="22"/>
                <w:szCs w:val="22"/>
              </w:rPr>
              <w:t xml:space="preserve"> local</w:t>
            </w:r>
            <w:r w:rsidR="004233B0" w:rsidRPr="00D75C96">
              <w:rPr>
                <w:sz w:val="22"/>
                <w:szCs w:val="22"/>
              </w:rPr>
              <w:t xml:space="preserve"> </w:t>
            </w:r>
            <w:r w:rsidR="00014CAE" w:rsidRPr="00D75C96">
              <w:rPr>
                <w:sz w:val="22"/>
                <w:szCs w:val="22"/>
              </w:rPr>
              <w:t>and regional public</w:t>
            </w:r>
            <w:r w:rsidR="00987577" w:rsidRPr="00D75C96">
              <w:rPr>
                <w:sz w:val="22"/>
                <w:szCs w:val="22"/>
              </w:rPr>
              <w:t xml:space="preserve"> officials</w:t>
            </w:r>
          </w:p>
        </w:tc>
      </w:tr>
    </w:tbl>
    <w:p w14:paraId="42B5A899" w14:textId="6C2CF503" w:rsidR="008020AB" w:rsidRPr="00D75C96" w:rsidRDefault="005F6EC4" w:rsidP="00E84F6F">
      <w:pPr>
        <w:spacing w:after="0"/>
        <w:ind w:leftChars="0" w:left="2" w:hanging="2"/>
        <w:rPr>
          <w:sz w:val="22"/>
          <w:szCs w:val="22"/>
        </w:rPr>
      </w:pPr>
      <w:r w:rsidRPr="00D75C96">
        <w:rPr>
          <w:sz w:val="22"/>
          <w:szCs w:val="22"/>
        </w:rPr>
        <w:br/>
      </w:r>
      <w:r w:rsidRPr="00D75C96">
        <w:rPr>
          <w:i/>
          <w:iCs/>
          <w:sz w:val="22"/>
          <w:szCs w:val="22"/>
        </w:rPr>
        <w:t>Please describe how these users will use the final products of your research</w:t>
      </w:r>
      <w:r w:rsidRPr="00D75C96">
        <w:rPr>
          <w:sz w:val="22"/>
          <w:szCs w:val="22"/>
        </w:rPr>
        <w:t>.</w:t>
      </w:r>
    </w:p>
    <w:p w14:paraId="3D0961F5" w14:textId="2EBB1819" w:rsidR="003C69BD" w:rsidRPr="00D75C96" w:rsidRDefault="00A37635" w:rsidP="00E84F6F">
      <w:pPr>
        <w:pStyle w:val="BodyText"/>
        <w:spacing w:before="120"/>
        <w:ind w:right="461"/>
        <w:rPr>
          <w:rFonts w:ascii="Calibri" w:eastAsia="Georgia" w:hAnsi="Calibri" w:cs="Calibri"/>
          <w:sz w:val="22"/>
          <w:szCs w:val="22"/>
        </w:rPr>
      </w:pPr>
      <w:r w:rsidRPr="00D75C96">
        <w:rPr>
          <w:noProof/>
          <w:sz w:val="22"/>
          <w:szCs w:val="22"/>
        </w:rPr>
        <mc:AlternateContent>
          <mc:Choice Requires="wps">
            <w:drawing>
              <wp:anchor distT="0" distB="0" distL="114300" distR="114300" simplePos="0" relativeHeight="251663360" behindDoc="0" locked="0" layoutInCell="1" allowOverlap="1" wp14:anchorId="4F824F64" wp14:editId="09C21A12">
                <wp:simplePos x="0" y="0"/>
                <wp:positionH relativeFrom="column">
                  <wp:posOffset>3259455</wp:posOffset>
                </wp:positionH>
                <wp:positionV relativeFrom="paragraph">
                  <wp:posOffset>2378710</wp:posOffset>
                </wp:positionV>
                <wp:extent cx="2336800" cy="6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2336800" cy="635"/>
                        </a:xfrm>
                        <a:prstGeom prst="rect">
                          <a:avLst/>
                        </a:prstGeom>
                        <a:solidFill>
                          <a:prstClr val="white"/>
                        </a:solidFill>
                        <a:ln>
                          <a:noFill/>
                        </a:ln>
                      </wps:spPr>
                      <wps:txbx>
                        <w:txbxContent>
                          <w:p w14:paraId="0FECD8F2" w14:textId="53612783" w:rsidR="002A1EAF" w:rsidRPr="00BE5992" w:rsidRDefault="002A1EAF" w:rsidP="00A85AAB">
                            <w:pPr>
                              <w:pStyle w:val="Caption"/>
                              <w:ind w:left="0" w:hanging="2"/>
                              <w:rPr>
                                <w:rFonts w:ascii="Arial" w:eastAsia="Arial" w:hAnsi="Arial" w:cs="Arial"/>
                                <w:noProof/>
                                <w:sz w:val="21"/>
                                <w:szCs w:val="21"/>
                              </w:rPr>
                            </w:pPr>
                            <w:r>
                              <w:t xml:space="preserve">Figure </w:t>
                            </w:r>
                            <w:fldSimple w:instr=" SEQ Figure \* ARABIC ">
                              <w:r>
                                <w:rPr>
                                  <w:noProof/>
                                </w:rPr>
                                <w:t>1</w:t>
                              </w:r>
                            </w:fldSimple>
                            <w:r>
                              <w:t>: Commuter-shed</w:t>
                            </w:r>
                            <w:r>
                              <w:rPr>
                                <w:noProof/>
                              </w:rPr>
                              <w:t xml:space="preserve"> for Aspen, 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824F64" id="_x0000_t202" coordsize="21600,21600" o:spt="202" path="m,l,21600r21600,l21600,xe">
                <v:stroke joinstyle="miter"/>
                <v:path gradientshapeok="t" o:connecttype="rect"/>
              </v:shapetype>
              <v:shape id="Text Box 4" o:spid="_x0000_s1026" type="#_x0000_t202" style="position:absolute;margin-left:256.65pt;margin-top:187.3pt;width:184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" stroked="f">
                <v:textbox style="mso-fit-shape-to-text:t" inset="0,0,0,0">
                  <w:txbxContent>
                    <w:p w14:paraId="0FECD8F2" w14:textId="53612783" w:rsidR="002A1EAF" w:rsidRPr="00BE5992" w:rsidRDefault="002A1EAF" w:rsidP="00A85AAB">
                      <w:pPr>
                        <w:pStyle w:val="Caption"/>
                        <w:ind w:left="0" w:hanging="2"/>
                        <w:rPr>
                          <w:rFonts w:ascii="Arial" w:eastAsia="Arial" w:hAnsi="Arial" w:cs="Arial"/>
                          <w:noProof/>
                          <w:sz w:val="21"/>
                          <w:szCs w:val="21"/>
                        </w:rPr>
                      </w:pPr>
                      <w:r>
                        <w:t xml:space="preserve">Figure </w:t>
                      </w:r>
                      <w:r w:rsidR="00DD15C4">
                        <w:fldChar w:fldCharType="begin"/>
                      </w:r>
                      <w:r w:rsidR="00DD15C4">
                        <w:instrText xml:space="preserve"> SEQ Figure \* ARABIC </w:instrText>
                      </w:r>
                      <w:r w:rsidR="00DD15C4">
                        <w:fldChar w:fldCharType="separate"/>
                      </w:r>
                      <w:r>
                        <w:rPr>
                          <w:noProof/>
                        </w:rPr>
                        <w:t>1</w:t>
                      </w:r>
                      <w:r w:rsidR="00DD15C4">
                        <w:rPr>
                          <w:noProof/>
                        </w:rPr>
                        <w:fldChar w:fldCharType="end"/>
                      </w:r>
                      <w:r>
                        <w:t>: Commuter-shed</w:t>
                      </w:r>
                      <w:r>
                        <w:rPr>
                          <w:noProof/>
                        </w:rPr>
                        <w:t xml:space="preserve"> for Aspen, CO</w:t>
                      </w:r>
                    </w:p>
                  </w:txbxContent>
                </v:textbox>
                <w10:wrap type="square"/>
              </v:shape>
            </w:pict>
          </mc:Fallback>
        </mc:AlternateContent>
      </w:r>
      <w:r w:rsidR="00014CAE" w:rsidRPr="00D75C96">
        <w:rPr>
          <w:noProof/>
          <w:sz w:val="22"/>
          <w:szCs w:val="22"/>
        </w:rPr>
        <w:drawing>
          <wp:anchor distT="0" distB="0" distL="0" distR="0" simplePos="0" relativeHeight="251661312" behindDoc="0" locked="0" layoutInCell="1" allowOverlap="1" wp14:anchorId="4D789666" wp14:editId="5FDC79BC">
            <wp:simplePos x="0" y="0"/>
            <wp:positionH relativeFrom="page">
              <wp:posOffset>4173855</wp:posOffset>
            </wp:positionH>
            <wp:positionV relativeFrom="paragraph">
              <wp:posOffset>586740</wp:posOffset>
            </wp:positionV>
            <wp:extent cx="2336800" cy="1797050"/>
            <wp:effectExtent l="0" t="0" r="0" b="6350"/>
            <wp:wrapSquare wrapText="bothSides"/>
            <wp:docPr id="3" name="image1.jpeg" descr="P29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336800" cy="1797050"/>
                    </a:xfrm>
                    <a:prstGeom prst="rect">
                      <a:avLst/>
                    </a:prstGeom>
                  </pic:spPr>
                </pic:pic>
              </a:graphicData>
            </a:graphic>
            <wp14:sizeRelH relativeFrom="margin">
              <wp14:pctWidth>0</wp14:pctWidth>
            </wp14:sizeRelH>
            <wp14:sizeRelV relativeFrom="margin">
              <wp14:pctHeight>0</wp14:pctHeight>
            </wp14:sizeRelV>
          </wp:anchor>
        </w:drawing>
      </w:r>
      <w:r w:rsidR="002B73D0" w:rsidRPr="00D75C96">
        <w:rPr>
          <w:rFonts w:ascii="Calibri" w:eastAsia="Georgia" w:hAnsi="Calibri" w:cs="Calibri"/>
          <w:sz w:val="22"/>
          <w:szCs w:val="22"/>
        </w:rPr>
        <w:t>We anticipate the</w:t>
      </w:r>
      <w:r w:rsidR="003C69BD" w:rsidRPr="00D75C96">
        <w:rPr>
          <w:rFonts w:ascii="Calibri" w:eastAsia="Georgia" w:hAnsi="Calibri" w:cs="Calibri"/>
          <w:sz w:val="22"/>
          <w:szCs w:val="22"/>
        </w:rPr>
        <w:t xml:space="preserve"> lessons learned</w:t>
      </w:r>
      <w:r w:rsidRPr="00D75C96">
        <w:rPr>
          <w:rFonts w:ascii="Calibri" w:eastAsia="Georgia" w:hAnsi="Calibri" w:cs="Calibri"/>
          <w:sz w:val="22"/>
          <w:szCs w:val="22"/>
        </w:rPr>
        <w:t>,</w:t>
      </w:r>
      <w:r w:rsidR="003C69BD" w:rsidRPr="00D75C96">
        <w:rPr>
          <w:rFonts w:ascii="Calibri" w:eastAsia="Georgia" w:hAnsi="Calibri" w:cs="Calibri"/>
          <w:sz w:val="22"/>
          <w:szCs w:val="22"/>
        </w:rPr>
        <w:t xml:space="preserve"> guidance</w:t>
      </w:r>
      <w:r w:rsidRPr="00D75C96">
        <w:rPr>
          <w:rFonts w:ascii="Calibri" w:eastAsia="Georgia" w:hAnsi="Calibri" w:cs="Calibri"/>
          <w:sz w:val="22"/>
          <w:szCs w:val="22"/>
        </w:rPr>
        <w:t xml:space="preserve"> and tools</w:t>
      </w:r>
      <w:r w:rsidR="003C69BD" w:rsidRPr="00D75C96">
        <w:rPr>
          <w:rFonts w:ascii="Calibri" w:eastAsia="Georgia" w:hAnsi="Calibri" w:cs="Calibri"/>
          <w:sz w:val="22"/>
          <w:szCs w:val="22"/>
        </w:rPr>
        <w:t xml:space="preserve"> developed through this study will have relevance for practitioners, policymakers, researchers, engineers/designers, people who do operations, and others working on transportation</w:t>
      </w:r>
      <w:r w:rsidR="00014CAE" w:rsidRPr="00D75C96">
        <w:rPr>
          <w:rFonts w:ascii="Calibri" w:eastAsia="Georgia" w:hAnsi="Calibri" w:cs="Calibri"/>
          <w:sz w:val="22"/>
          <w:szCs w:val="22"/>
        </w:rPr>
        <w:t>, housing,</w:t>
      </w:r>
      <w:r w:rsidR="003C69BD" w:rsidRPr="00D75C96">
        <w:rPr>
          <w:rFonts w:ascii="Calibri" w:eastAsia="Georgia" w:hAnsi="Calibri" w:cs="Calibri"/>
          <w:sz w:val="22"/>
          <w:szCs w:val="22"/>
        </w:rPr>
        <w:t xml:space="preserve"> and planning-related concerns in and around gateway communities as well as in other urban and rural regions.</w:t>
      </w:r>
      <w:r w:rsidR="00987577" w:rsidRPr="00D75C96">
        <w:rPr>
          <w:rFonts w:ascii="Calibri" w:eastAsia="Georgia" w:hAnsi="Calibri" w:cs="Calibri"/>
          <w:sz w:val="22"/>
          <w:szCs w:val="22"/>
        </w:rPr>
        <w:t xml:space="preserve"> </w:t>
      </w:r>
      <w:r w:rsidR="00040891" w:rsidRPr="00D75C96">
        <w:rPr>
          <w:rFonts w:ascii="Calibri" w:eastAsia="Georgia" w:hAnsi="Calibri" w:cs="Calibri"/>
          <w:sz w:val="22"/>
          <w:szCs w:val="22"/>
        </w:rPr>
        <w:t>For example, we suspect the results of this study will</w:t>
      </w:r>
      <w:r w:rsidR="002B73D0" w:rsidRPr="00D75C96">
        <w:rPr>
          <w:rFonts w:ascii="Calibri" w:eastAsia="Georgia" w:hAnsi="Calibri" w:cs="Calibri"/>
          <w:sz w:val="22"/>
          <w:szCs w:val="22"/>
        </w:rPr>
        <w:t xml:space="preserve"> highlight the urgency of addressing housing, transportation, and land use issues in gateway communities</w:t>
      </w:r>
      <w:r w:rsidRPr="00D75C96">
        <w:rPr>
          <w:rFonts w:ascii="Calibri" w:eastAsia="Georgia" w:hAnsi="Calibri" w:cs="Calibri"/>
          <w:sz w:val="22"/>
          <w:szCs w:val="22"/>
        </w:rPr>
        <w:t xml:space="preserve"> in an integrated, regional way </w:t>
      </w:r>
      <w:r w:rsidR="002B73D0" w:rsidRPr="00D75C96">
        <w:rPr>
          <w:rFonts w:ascii="Calibri" w:eastAsia="Georgia" w:hAnsi="Calibri" w:cs="Calibri"/>
          <w:sz w:val="22"/>
          <w:szCs w:val="22"/>
        </w:rPr>
        <w:t xml:space="preserve">and emphasize the </w:t>
      </w:r>
      <w:r w:rsidR="00040891" w:rsidRPr="00D75C96">
        <w:rPr>
          <w:rFonts w:ascii="Calibri" w:eastAsia="Georgia" w:hAnsi="Calibri" w:cs="Calibri"/>
          <w:sz w:val="22"/>
          <w:szCs w:val="22"/>
        </w:rPr>
        <w:t>need for cross-sector</w:t>
      </w:r>
      <w:r w:rsidRPr="00D75C96">
        <w:rPr>
          <w:rFonts w:ascii="Calibri" w:eastAsia="Georgia" w:hAnsi="Calibri" w:cs="Calibri"/>
          <w:sz w:val="22"/>
          <w:szCs w:val="22"/>
        </w:rPr>
        <w:t xml:space="preserve"> regional</w:t>
      </w:r>
      <w:r w:rsidR="00040891" w:rsidRPr="00D75C96">
        <w:rPr>
          <w:rFonts w:ascii="Calibri" w:eastAsia="Georgia" w:hAnsi="Calibri" w:cs="Calibri"/>
          <w:sz w:val="22"/>
          <w:szCs w:val="22"/>
        </w:rPr>
        <w:t xml:space="preserve"> collaboration</w:t>
      </w:r>
      <w:r w:rsidRPr="00D75C96">
        <w:rPr>
          <w:rFonts w:ascii="Calibri" w:eastAsia="Georgia" w:hAnsi="Calibri" w:cs="Calibri"/>
          <w:sz w:val="22"/>
          <w:szCs w:val="22"/>
        </w:rPr>
        <w:t xml:space="preserve"> around these issues</w:t>
      </w:r>
      <w:r w:rsidR="00040891" w:rsidRPr="00D75C96">
        <w:rPr>
          <w:rFonts w:ascii="Calibri" w:eastAsia="Georgia" w:hAnsi="Calibri" w:cs="Calibri"/>
          <w:sz w:val="22"/>
          <w:szCs w:val="22"/>
        </w:rPr>
        <w:t xml:space="preserve">. </w:t>
      </w:r>
      <w:r w:rsidRPr="00D75C96">
        <w:rPr>
          <w:rFonts w:ascii="Calibri" w:eastAsia="Georgia" w:hAnsi="Calibri" w:cs="Calibri"/>
          <w:sz w:val="22"/>
          <w:szCs w:val="22"/>
        </w:rPr>
        <w:t>Such</w:t>
      </w:r>
      <w:r w:rsidR="002B73D0" w:rsidRPr="00D75C96">
        <w:rPr>
          <w:rFonts w:ascii="Calibri" w:eastAsia="Georgia" w:hAnsi="Calibri" w:cs="Calibri"/>
          <w:sz w:val="22"/>
          <w:szCs w:val="22"/>
        </w:rPr>
        <w:t xml:space="preserve"> findings w</w:t>
      </w:r>
      <w:r w:rsidRPr="00D75C96">
        <w:rPr>
          <w:rFonts w:ascii="Calibri" w:eastAsia="Georgia" w:hAnsi="Calibri" w:cs="Calibri"/>
          <w:sz w:val="22"/>
          <w:szCs w:val="22"/>
        </w:rPr>
        <w:t>ould</w:t>
      </w:r>
      <w:r w:rsidR="002B73D0" w:rsidRPr="00D75C96">
        <w:rPr>
          <w:rFonts w:ascii="Calibri" w:eastAsia="Georgia" w:hAnsi="Calibri" w:cs="Calibri"/>
          <w:sz w:val="22"/>
          <w:szCs w:val="22"/>
        </w:rPr>
        <w:t xml:space="preserve"> have implications for a wide range of entities, from state DOTs to federal</w:t>
      </w:r>
      <w:r w:rsidR="004233B0" w:rsidRPr="00D75C96">
        <w:rPr>
          <w:rFonts w:ascii="Calibri" w:eastAsia="Georgia" w:hAnsi="Calibri" w:cs="Calibri"/>
          <w:sz w:val="22"/>
          <w:szCs w:val="22"/>
        </w:rPr>
        <w:t xml:space="preserve"> agencies to</w:t>
      </w:r>
      <w:r w:rsidR="002B73D0" w:rsidRPr="00D75C96">
        <w:rPr>
          <w:rFonts w:ascii="Calibri" w:eastAsia="Georgia" w:hAnsi="Calibri" w:cs="Calibri"/>
          <w:sz w:val="22"/>
          <w:szCs w:val="22"/>
        </w:rPr>
        <w:t xml:space="preserve"> local public officials. </w:t>
      </w:r>
      <w:r w:rsidR="00040891" w:rsidRPr="00D75C96">
        <w:rPr>
          <w:rFonts w:ascii="Calibri" w:eastAsia="Georgia" w:hAnsi="Calibri" w:cs="Calibri"/>
          <w:sz w:val="22"/>
          <w:szCs w:val="22"/>
        </w:rPr>
        <w:t xml:space="preserve">This study will also generate </w:t>
      </w:r>
      <w:r w:rsidR="003C69BD" w:rsidRPr="00D75C96">
        <w:rPr>
          <w:rFonts w:ascii="Calibri" w:eastAsia="Georgia" w:hAnsi="Calibri" w:cs="Calibri"/>
          <w:sz w:val="22"/>
          <w:szCs w:val="22"/>
        </w:rPr>
        <w:t>a range of academic questions and insights related to integrated housing</w:t>
      </w:r>
      <w:r w:rsidR="0035620A" w:rsidRPr="00D75C96">
        <w:rPr>
          <w:rFonts w:ascii="Calibri" w:eastAsia="Georgia" w:hAnsi="Calibri" w:cs="Calibri"/>
          <w:sz w:val="22"/>
          <w:szCs w:val="22"/>
        </w:rPr>
        <w:t xml:space="preserve">, </w:t>
      </w:r>
      <w:r w:rsidR="003C69BD" w:rsidRPr="00D75C96">
        <w:rPr>
          <w:rFonts w:ascii="Calibri" w:eastAsia="Georgia" w:hAnsi="Calibri" w:cs="Calibri"/>
          <w:sz w:val="22"/>
          <w:szCs w:val="22"/>
        </w:rPr>
        <w:t>transportation</w:t>
      </w:r>
      <w:r w:rsidR="0035620A" w:rsidRPr="00D75C96">
        <w:rPr>
          <w:rFonts w:ascii="Calibri" w:eastAsia="Georgia" w:hAnsi="Calibri" w:cs="Calibri"/>
          <w:sz w:val="22"/>
          <w:szCs w:val="22"/>
        </w:rPr>
        <w:t>, and land use</w:t>
      </w:r>
      <w:r w:rsidR="003C69BD" w:rsidRPr="00D75C96">
        <w:rPr>
          <w:rFonts w:ascii="Calibri" w:eastAsia="Georgia" w:hAnsi="Calibri" w:cs="Calibri"/>
          <w:sz w:val="22"/>
          <w:szCs w:val="22"/>
        </w:rPr>
        <w:t xml:space="preserve"> challenges and opportunities. </w:t>
      </w:r>
      <w:r w:rsidRPr="00D75C96">
        <w:rPr>
          <w:rFonts w:ascii="Calibri" w:eastAsia="Georgia" w:hAnsi="Calibri" w:cs="Calibri"/>
          <w:sz w:val="22"/>
          <w:szCs w:val="22"/>
        </w:rPr>
        <w:t>Further,</w:t>
      </w:r>
      <w:r w:rsidR="003C69BD" w:rsidRPr="00D75C96">
        <w:rPr>
          <w:rFonts w:ascii="Calibri" w:eastAsia="Georgia" w:hAnsi="Calibri" w:cs="Calibri"/>
          <w:sz w:val="22"/>
          <w:szCs w:val="22"/>
        </w:rPr>
        <w:t xml:space="preserve"> </w:t>
      </w:r>
      <w:r w:rsidRPr="00D75C96">
        <w:rPr>
          <w:rFonts w:ascii="Calibri" w:eastAsia="Georgia" w:hAnsi="Calibri" w:cs="Calibri"/>
          <w:sz w:val="22"/>
          <w:szCs w:val="22"/>
        </w:rPr>
        <w:t>we</w:t>
      </w:r>
      <w:r w:rsidR="003C69BD" w:rsidRPr="00D75C96">
        <w:rPr>
          <w:rFonts w:ascii="Calibri" w:eastAsia="Georgia" w:hAnsi="Calibri" w:cs="Calibri"/>
          <w:sz w:val="22"/>
          <w:szCs w:val="22"/>
        </w:rPr>
        <w:t xml:space="preserve"> anticipate the analysis of LODES data and visualization of commuter-sheds will be of interest for</w:t>
      </w:r>
      <w:r w:rsidR="004233B0" w:rsidRPr="00D75C96">
        <w:rPr>
          <w:rFonts w:ascii="Calibri" w:eastAsia="Georgia" w:hAnsi="Calibri" w:cs="Calibri"/>
          <w:sz w:val="22"/>
          <w:szCs w:val="22"/>
        </w:rPr>
        <w:t xml:space="preserve"> local and regional</w:t>
      </w:r>
      <w:r w:rsidR="003C69BD" w:rsidRPr="00D75C96">
        <w:rPr>
          <w:rFonts w:ascii="Calibri" w:eastAsia="Georgia" w:hAnsi="Calibri" w:cs="Calibri"/>
          <w:sz w:val="22"/>
          <w:szCs w:val="22"/>
        </w:rPr>
        <w:t xml:space="preserve"> transportation engineers and planners (</w:t>
      </w:r>
      <w:r w:rsidR="004233B0" w:rsidRPr="00D75C96">
        <w:rPr>
          <w:rFonts w:ascii="Calibri" w:eastAsia="Georgia" w:hAnsi="Calibri" w:cs="Calibri"/>
          <w:sz w:val="22"/>
          <w:szCs w:val="22"/>
        </w:rPr>
        <w:t xml:space="preserve">see </w:t>
      </w:r>
      <w:r w:rsidR="003C69BD" w:rsidRPr="00D75C96">
        <w:rPr>
          <w:rFonts w:ascii="Calibri" w:eastAsia="Georgia" w:hAnsi="Calibri" w:cs="Calibri"/>
          <w:sz w:val="22"/>
          <w:szCs w:val="22"/>
        </w:rPr>
        <w:t>Figure 1). We will describe and detail how to produce this analysis and anticipate this will support regional transportation planning in these regions.</w:t>
      </w:r>
    </w:p>
    <w:p w14:paraId="4B86FC92" w14:textId="270BD899" w:rsidR="00987577" w:rsidRPr="00D75C96" w:rsidRDefault="00040891" w:rsidP="00987577">
      <w:pPr>
        <w:pStyle w:val="BodyText"/>
        <w:spacing w:before="120"/>
        <w:ind w:right="461"/>
        <w:rPr>
          <w:rFonts w:ascii="Calibri" w:eastAsia="Georgia" w:hAnsi="Calibri" w:cs="Calibri"/>
          <w:sz w:val="22"/>
          <w:szCs w:val="22"/>
        </w:rPr>
      </w:pPr>
      <w:r w:rsidRPr="00D75C96">
        <w:rPr>
          <w:rFonts w:ascii="Calibri" w:eastAsia="Georgia" w:hAnsi="Calibri" w:cs="Calibri"/>
          <w:sz w:val="22"/>
          <w:szCs w:val="22"/>
        </w:rPr>
        <w:t>Finally, and importantly,</w:t>
      </w:r>
      <w:r w:rsidR="00987577" w:rsidRPr="00D75C96">
        <w:rPr>
          <w:rFonts w:ascii="Calibri" w:eastAsia="Georgia" w:hAnsi="Calibri" w:cs="Calibri"/>
          <w:sz w:val="22"/>
          <w:szCs w:val="22"/>
        </w:rPr>
        <w:t xml:space="preserve"> </w:t>
      </w:r>
      <w:r w:rsidRPr="00D75C96">
        <w:rPr>
          <w:rFonts w:ascii="Calibri" w:eastAsia="Georgia" w:hAnsi="Calibri" w:cs="Calibri"/>
          <w:sz w:val="22"/>
          <w:szCs w:val="22"/>
        </w:rPr>
        <w:t xml:space="preserve">we </w:t>
      </w:r>
      <w:r w:rsidR="00014CAE" w:rsidRPr="00D75C96">
        <w:rPr>
          <w:rFonts w:ascii="Calibri" w:eastAsia="Georgia" w:hAnsi="Calibri" w:cs="Calibri"/>
          <w:sz w:val="22"/>
          <w:szCs w:val="22"/>
        </w:rPr>
        <w:t xml:space="preserve">feel strongly that the </w:t>
      </w:r>
      <w:r w:rsidR="00987577" w:rsidRPr="00D75C96">
        <w:rPr>
          <w:rFonts w:ascii="Calibri" w:eastAsia="Georgia" w:hAnsi="Calibri" w:cs="Calibri"/>
          <w:sz w:val="22"/>
          <w:szCs w:val="22"/>
        </w:rPr>
        <w:t xml:space="preserve">acute housing, transportation, and land use issues that are playing out across western gateway </w:t>
      </w:r>
      <w:proofErr w:type="gramStart"/>
      <w:r w:rsidR="00987577" w:rsidRPr="00D75C96">
        <w:rPr>
          <w:rFonts w:ascii="Calibri" w:eastAsia="Georgia" w:hAnsi="Calibri" w:cs="Calibri"/>
          <w:sz w:val="22"/>
          <w:szCs w:val="22"/>
        </w:rPr>
        <w:t>communities</w:t>
      </w:r>
      <w:proofErr w:type="gramEnd"/>
      <w:r w:rsidR="00987577" w:rsidRPr="00D75C96">
        <w:rPr>
          <w:rFonts w:ascii="Calibri" w:eastAsia="Georgia" w:hAnsi="Calibri" w:cs="Calibri"/>
          <w:sz w:val="22"/>
          <w:szCs w:val="22"/>
        </w:rPr>
        <w:t xml:space="preserve"> merit far greater attention from state and federal decision-makers</w:t>
      </w:r>
      <w:r w:rsidR="002B73D0" w:rsidRPr="00D75C96">
        <w:rPr>
          <w:rFonts w:ascii="Calibri" w:eastAsia="Georgia" w:hAnsi="Calibri" w:cs="Calibri"/>
          <w:sz w:val="22"/>
          <w:szCs w:val="22"/>
        </w:rPr>
        <w:t xml:space="preserve"> (as well as academics)</w:t>
      </w:r>
      <w:r w:rsidRPr="00D75C96">
        <w:rPr>
          <w:rFonts w:ascii="Calibri" w:eastAsia="Georgia" w:hAnsi="Calibri" w:cs="Calibri"/>
          <w:sz w:val="22"/>
          <w:szCs w:val="22"/>
        </w:rPr>
        <w:t>.</w:t>
      </w:r>
      <w:r w:rsidR="00987577" w:rsidRPr="00D75C96">
        <w:rPr>
          <w:rFonts w:ascii="Calibri" w:eastAsia="Georgia" w:hAnsi="Calibri" w:cs="Calibri"/>
          <w:sz w:val="22"/>
          <w:szCs w:val="22"/>
        </w:rPr>
        <w:t xml:space="preserve"> </w:t>
      </w:r>
      <w:r w:rsidRPr="00D75C96">
        <w:rPr>
          <w:rFonts w:ascii="Calibri" w:eastAsia="Georgia" w:hAnsi="Calibri" w:cs="Calibri"/>
          <w:sz w:val="22"/>
          <w:szCs w:val="22"/>
        </w:rPr>
        <w:t>We also</w:t>
      </w:r>
      <w:r w:rsidR="00987577" w:rsidRPr="00D75C96">
        <w:rPr>
          <w:rFonts w:ascii="Calibri" w:eastAsia="Georgia" w:hAnsi="Calibri" w:cs="Calibri"/>
          <w:sz w:val="22"/>
          <w:szCs w:val="22"/>
        </w:rPr>
        <w:t xml:space="preserve"> know that </w:t>
      </w:r>
      <w:r w:rsidR="00014CAE" w:rsidRPr="00D75C96">
        <w:rPr>
          <w:rFonts w:ascii="Calibri" w:eastAsia="Georgia" w:hAnsi="Calibri" w:cs="Calibri"/>
          <w:sz w:val="22"/>
          <w:szCs w:val="22"/>
        </w:rPr>
        <w:t>people who live in, work in, visit, and work with</w:t>
      </w:r>
      <w:r w:rsidR="00987577" w:rsidRPr="00D75C96">
        <w:rPr>
          <w:rFonts w:ascii="Calibri" w:eastAsia="Georgia" w:hAnsi="Calibri" w:cs="Calibri"/>
          <w:sz w:val="22"/>
          <w:szCs w:val="22"/>
        </w:rPr>
        <w:t xml:space="preserve"> these places are very concerned about the futures of the</w:t>
      </w:r>
      <w:r w:rsidR="00014CAE" w:rsidRPr="00D75C96">
        <w:rPr>
          <w:rFonts w:ascii="Calibri" w:eastAsia="Georgia" w:hAnsi="Calibri" w:cs="Calibri"/>
          <w:sz w:val="22"/>
          <w:szCs w:val="22"/>
        </w:rPr>
        <w:t xml:space="preserve">se </w:t>
      </w:r>
      <w:r w:rsidR="00987577" w:rsidRPr="00D75C96">
        <w:rPr>
          <w:rFonts w:ascii="Calibri" w:eastAsia="Georgia" w:hAnsi="Calibri" w:cs="Calibri"/>
          <w:sz w:val="22"/>
          <w:szCs w:val="22"/>
        </w:rPr>
        <w:t>towns and cities</w:t>
      </w:r>
      <w:r w:rsidRPr="00D75C96">
        <w:rPr>
          <w:rFonts w:ascii="Calibri" w:eastAsia="Georgia" w:hAnsi="Calibri" w:cs="Calibri"/>
          <w:sz w:val="22"/>
          <w:szCs w:val="22"/>
        </w:rPr>
        <w:t xml:space="preserve"> and are eager for strategies</w:t>
      </w:r>
      <w:r w:rsidR="00A37635" w:rsidRPr="00D75C96">
        <w:rPr>
          <w:rFonts w:ascii="Calibri" w:eastAsia="Georgia" w:hAnsi="Calibri" w:cs="Calibri"/>
          <w:sz w:val="22"/>
          <w:szCs w:val="22"/>
        </w:rPr>
        <w:t xml:space="preserve"> and resources</w:t>
      </w:r>
      <w:r w:rsidRPr="00D75C96">
        <w:rPr>
          <w:rFonts w:ascii="Calibri" w:eastAsia="Georgia" w:hAnsi="Calibri" w:cs="Calibri"/>
          <w:sz w:val="22"/>
          <w:szCs w:val="22"/>
        </w:rPr>
        <w:t xml:space="preserve"> and help address their transportation, </w:t>
      </w:r>
      <w:r w:rsidR="00014CAE" w:rsidRPr="00D75C96">
        <w:rPr>
          <w:rFonts w:ascii="Calibri" w:eastAsia="Georgia" w:hAnsi="Calibri" w:cs="Calibri"/>
          <w:sz w:val="22"/>
          <w:szCs w:val="22"/>
        </w:rPr>
        <w:t xml:space="preserve">housing, </w:t>
      </w:r>
      <w:r w:rsidRPr="00D75C96">
        <w:rPr>
          <w:rFonts w:ascii="Calibri" w:eastAsia="Georgia" w:hAnsi="Calibri" w:cs="Calibri"/>
          <w:sz w:val="22"/>
          <w:szCs w:val="22"/>
        </w:rPr>
        <w:t>and land use concerns.</w:t>
      </w:r>
      <w:r w:rsidR="00987577" w:rsidRPr="00D75C96">
        <w:rPr>
          <w:rFonts w:ascii="Calibri" w:eastAsia="Georgia" w:hAnsi="Calibri" w:cs="Calibri"/>
          <w:sz w:val="22"/>
          <w:szCs w:val="22"/>
        </w:rPr>
        <w:t xml:space="preserve"> </w:t>
      </w:r>
      <w:r w:rsidR="008A6B3B" w:rsidRPr="00D75C96">
        <w:rPr>
          <w:rFonts w:ascii="Calibri" w:eastAsia="Georgia" w:hAnsi="Calibri" w:cs="Calibri"/>
          <w:sz w:val="22"/>
          <w:szCs w:val="22"/>
        </w:rPr>
        <w:t>By</w:t>
      </w:r>
      <w:r w:rsidR="00987577" w:rsidRPr="00D75C96">
        <w:rPr>
          <w:rFonts w:ascii="Calibri" w:eastAsia="Georgia" w:hAnsi="Calibri" w:cs="Calibri"/>
          <w:sz w:val="22"/>
          <w:szCs w:val="22"/>
        </w:rPr>
        <w:t xml:space="preserve"> documenting what is happening in these places and telling their stories</w:t>
      </w:r>
      <w:r w:rsidRPr="00D75C96">
        <w:rPr>
          <w:rFonts w:ascii="Calibri" w:eastAsia="Georgia" w:hAnsi="Calibri" w:cs="Calibri"/>
          <w:sz w:val="22"/>
          <w:szCs w:val="22"/>
        </w:rPr>
        <w:t>, we hope to bring attention and resources to bear on their challenges</w:t>
      </w:r>
      <w:r w:rsidR="00E84F6F" w:rsidRPr="00D75C96">
        <w:rPr>
          <w:rFonts w:ascii="Calibri" w:eastAsia="Georgia" w:hAnsi="Calibri" w:cs="Calibri"/>
          <w:sz w:val="22"/>
          <w:szCs w:val="22"/>
        </w:rPr>
        <w:t xml:space="preserve"> as well as to illuminate lessons learned and strategies</w:t>
      </w:r>
      <w:r w:rsidRPr="00D75C96">
        <w:rPr>
          <w:rFonts w:ascii="Calibri" w:eastAsia="Georgia" w:hAnsi="Calibri" w:cs="Calibri"/>
          <w:sz w:val="22"/>
          <w:szCs w:val="22"/>
        </w:rPr>
        <w:t>.</w:t>
      </w:r>
    </w:p>
    <w:p w14:paraId="4E11CB13" w14:textId="77777777" w:rsidR="008020AB" w:rsidRPr="00D75C96" w:rsidRDefault="005F6EC4" w:rsidP="00040891">
      <w:pPr>
        <w:spacing w:before="120" w:after="0"/>
        <w:ind w:leftChars="0" w:left="2" w:hanging="2"/>
        <w:rPr>
          <w:i/>
          <w:iCs/>
          <w:sz w:val="22"/>
          <w:szCs w:val="22"/>
        </w:rPr>
      </w:pPr>
      <w:r w:rsidRPr="00D75C96">
        <w:rPr>
          <w:b/>
          <w:sz w:val="22"/>
          <w:szCs w:val="22"/>
        </w:rPr>
        <w:t>8c.</w:t>
      </w:r>
      <w:r w:rsidRPr="00D75C96">
        <w:rPr>
          <w:sz w:val="22"/>
          <w:szCs w:val="22"/>
        </w:rPr>
        <w:t xml:space="preserve"> </w:t>
      </w:r>
      <w:r w:rsidRPr="00D75C96">
        <w:rPr>
          <w:i/>
          <w:iCs/>
          <w:sz w:val="22"/>
          <w:szCs w:val="22"/>
        </w:rPr>
        <w:t>In addition to the final report, how will you share the findings with them?</w:t>
      </w:r>
    </w:p>
    <w:tbl>
      <w:tblPr>
        <w:tblStyle w:val="a9"/>
        <w:tblW w:w="915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
        <w:gridCol w:w="1167"/>
        <w:gridCol w:w="372"/>
        <w:gridCol w:w="372"/>
        <w:gridCol w:w="1385"/>
        <w:gridCol w:w="450"/>
        <w:gridCol w:w="360"/>
        <w:gridCol w:w="1332"/>
        <w:gridCol w:w="360"/>
        <w:gridCol w:w="360"/>
        <w:gridCol w:w="2700"/>
      </w:tblGrid>
      <w:tr w:rsidR="00014CAE" w:rsidRPr="00D75C96" w14:paraId="0DEAB7BE" w14:textId="77777777" w:rsidTr="00014CAE">
        <w:tc>
          <w:tcPr>
            <w:tcW w:w="299" w:type="dxa"/>
            <w:tcBorders>
              <w:top w:val="single" w:sz="4" w:space="0" w:color="000000"/>
              <w:left w:val="single" w:sz="4" w:space="0" w:color="000000"/>
              <w:bottom w:val="single" w:sz="4" w:space="0" w:color="000000"/>
              <w:right w:val="single" w:sz="4" w:space="0" w:color="000000"/>
            </w:tcBorders>
          </w:tcPr>
          <w:p w14:paraId="1BA87B69" w14:textId="4525D9DE" w:rsidR="008020AB" w:rsidRPr="00D75C96" w:rsidRDefault="003C69BD">
            <w:pPr>
              <w:spacing w:after="0" w:line="240" w:lineRule="auto"/>
              <w:ind w:left="0" w:hanging="2"/>
              <w:jc w:val="center"/>
              <w:rPr>
                <w:sz w:val="22"/>
                <w:szCs w:val="22"/>
              </w:rPr>
            </w:pPr>
            <w:r w:rsidRPr="00D75C96">
              <w:rPr>
                <w:sz w:val="22"/>
                <w:szCs w:val="22"/>
              </w:rPr>
              <w:lastRenderedPageBreak/>
              <w:t>X</w:t>
            </w:r>
          </w:p>
        </w:tc>
        <w:tc>
          <w:tcPr>
            <w:tcW w:w="1167" w:type="dxa"/>
            <w:tcBorders>
              <w:top w:val="nil"/>
              <w:left w:val="single" w:sz="4" w:space="0" w:color="000000"/>
              <w:bottom w:val="nil"/>
              <w:right w:val="nil"/>
            </w:tcBorders>
          </w:tcPr>
          <w:p w14:paraId="29932704" w14:textId="77777777" w:rsidR="008020AB" w:rsidRPr="00D75C96" w:rsidRDefault="005F6EC4">
            <w:pPr>
              <w:spacing w:after="0" w:line="240" w:lineRule="auto"/>
              <w:ind w:left="0" w:hanging="2"/>
              <w:rPr>
                <w:sz w:val="22"/>
                <w:szCs w:val="22"/>
              </w:rPr>
            </w:pPr>
            <w:r w:rsidRPr="00D75C96">
              <w:rPr>
                <w:sz w:val="22"/>
                <w:szCs w:val="22"/>
              </w:rPr>
              <w:t>Brochure</w:t>
            </w:r>
          </w:p>
        </w:tc>
        <w:tc>
          <w:tcPr>
            <w:tcW w:w="372" w:type="dxa"/>
            <w:tcBorders>
              <w:top w:val="nil"/>
              <w:left w:val="nil"/>
              <w:bottom w:val="nil"/>
              <w:right w:val="single" w:sz="4" w:space="0" w:color="000000"/>
            </w:tcBorders>
          </w:tcPr>
          <w:p w14:paraId="0D4C7CF4" w14:textId="77777777" w:rsidR="008020AB" w:rsidRPr="00D75C96" w:rsidRDefault="008020AB">
            <w:pPr>
              <w:spacing w:after="0" w:line="240" w:lineRule="auto"/>
              <w:ind w:left="0" w:hanging="2"/>
              <w:rPr>
                <w:sz w:val="22"/>
                <w:szCs w:val="22"/>
              </w:rPr>
            </w:pPr>
          </w:p>
        </w:tc>
        <w:tc>
          <w:tcPr>
            <w:tcW w:w="372" w:type="dxa"/>
            <w:tcBorders>
              <w:top w:val="single" w:sz="4" w:space="0" w:color="000000"/>
              <w:left w:val="single" w:sz="4" w:space="0" w:color="000000"/>
              <w:bottom w:val="single" w:sz="4" w:space="0" w:color="000000"/>
              <w:right w:val="single" w:sz="4" w:space="0" w:color="000000"/>
            </w:tcBorders>
          </w:tcPr>
          <w:p w14:paraId="4A624E78" w14:textId="5823F596" w:rsidR="008020AB" w:rsidRPr="00D75C96" w:rsidRDefault="003C69BD">
            <w:pPr>
              <w:spacing w:after="0" w:line="240" w:lineRule="auto"/>
              <w:ind w:left="0" w:hanging="2"/>
              <w:jc w:val="center"/>
              <w:rPr>
                <w:sz w:val="22"/>
                <w:szCs w:val="22"/>
              </w:rPr>
            </w:pPr>
            <w:r w:rsidRPr="00D75C96">
              <w:rPr>
                <w:sz w:val="22"/>
                <w:szCs w:val="22"/>
              </w:rPr>
              <w:t>X</w:t>
            </w:r>
          </w:p>
        </w:tc>
        <w:tc>
          <w:tcPr>
            <w:tcW w:w="1385" w:type="dxa"/>
            <w:tcBorders>
              <w:top w:val="nil"/>
              <w:left w:val="single" w:sz="4" w:space="0" w:color="000000"/>
              <w:bottom w:val="nil"/>
              <w:right w:val="nil"/>
            </w:tcBorders>
          </w:tcPr>
          <w:p w14:paraId="3869236B" w14:textId="77777777" w:rsidR="008020AB" w:rsidRPr="00D75C96" w:rsidRDefault="005F6EC4">
            <w:pPr>
              <w:spacing w:after="0" w:line="240" w:lineRule="auto"/>
              <w:ind w:left="0" w:hanging="2"/>
              <w:rPr>
                <w:sz w:val="22"/>
                <w:szCs w:val="22"/>
              </w:rPr>
            </w:pPr>
            <w:r w:rsidRPr="00D75C96">
              <w:rPr>
                <w:sz w:val="22"/>
                <w:szCs w:val="22"/>
              </w:rPr>
              <w:t>Infographics</w:t>
            </w:r>
          </w:p>
        </w:tc>
        <w:tc>
          <w:tcPr>
            <w:tcW w:w="450" w:type="dxa"/>
            <w:tcBorders>
              <w:top w:val="nil"/>
              <w:left w:val="nil"/>
              <w:bottom w:val="nil"/>
              <w:right w:val="single" w:sz="4" w:space="0" w:color="000000"/>
            </w:tcBorders>
          </w:tcPr>
          <w:p w14:paraId="348080D6" w14:textId="77777777" w:rsidR="008020AB" w:rsidRPr="00D75C96" w:rsidRDefault="008020AB">
            <w:pPr>
              <w:spacing w:after="0" w:line="240" w:lineRule="auto"/>
              <w:ind w:left="0" w:hanging="2"/>
              <w:rPr>
                <w:sz w:val="22"/>
                <w:szCs w:val="22"/>
              </w:rPr>
            </w:pPr>
          </w:p>
        </w:tc>
        <w:tc>
          <w:tcPr>
            <w:tcW w:w="360" w:type="dxa"/>
            <w:tcBorders>
              <w:top w:val="single" w:sz="4" w:space="0" w:color="000000"/>
              <w:left w:val="single" w:sz="4" w:space="0" w:color="000000"/>
              <w:bottom w:val="single" w:sz="4" w:space="0" w:color="000000"/>
              <w:right w:val="single" w:sz="4" w:space="0" w:color="000000"/>
            </w:tcBorders>
          </w:tcPr>
          <w:p w14:paraId="40DB57BA" w14:textId="76915075" w:rsidR="008020AB" w:rsidRPr="00D75C96" w:rsidRDefault="003C69BD">
            <w:pPr>
              <w:spacing w:after="0" w:line="240" w:lineRule="auto"/>
              <w:ind w:left="0" w:hanging="2"/>
              <w:jc w:val="center"/>
              <w:rPr>
                <w:sz w:val="22"/>
                <w:szCs w:val="22"/>
              </w:rPr>
            </w:pPr>
            <w:r w:rsidRPr="00D75C96">
              <w:rPr>
                <w:sz w:val="22"/>
                <w:szCs w:val="22"/>
              </w:rPr>
              <w:t>X</w:t>
            </w:r>
          </w:p>
        </w:tc>
        <w:tc>
          <w:tcPr>
            <w:tcW w:w="1332" w:type="dxa"/>
            <w:tcBorders>
              <w:top w:val="nil"/>
              <w:left w:val="single" w:sz="4" w:space="0" w:color="000000"/>
              <w:bottom w:val="nil"/>
              <w:right w:val="nil"/>
            </w:tcBorders>
          </w:tcPr>
          <w:p w14:paraId="39C14713" w14:textId="77777777" w:rsidR="008020AB" w:rsidRPr="00D75C96" w:rsidRDefault="005F6EC4">
            <w:pPr>
              <w:spacing w:after="0" w:line="240" w:lineRule="auto"/>
              <w:ind w:left="0" w:hanging="2"/>
              <w:rPr>
                <w:sz w:val="22"/>
                <w:szCs w:val="22"/>
              </w:rPr>
            </w:pPr>
            <w:r w:rsidRPr="00D75C96">
              <w:rPr>
                <w:sz w:val="22"/>
                <w:szCs w:val="22"/>
              </w:rPr>
              <w:t>Project Brief</w:t>
            </w:r>
          </w:p>
        </w:tc>
        <w:tc>
          <w:tcPr>
            <w:tcW w:w="360" w:type="dxa"/>
            <w:tcBorders>
              <w:top w:val="nil"/>
              <w:left w:val="nil"/>
              <w:bottom w:val="nil"/>
              <w:right w:val="single" w:sz="4" w:space="0" w:color="000000"/>
            </w:tcBorders>
          </w:tcPr>
          <w:p w14:paraId="46D068D6" w14:textId="77777777" w:rsidR="008020AB" w:rsidRPr="00D75C96" w:rsidRDefault="008020AB">
            <w:pPr>
              <w:spacing w:after="0" w:line="240" w:lineRule="auto"/>
              <w:ind w:left="0" w:hanging="2"/>
              <w:rPr>
                <w:sz w:val="22"/>
                <w:szCs w:val="22"/>
              </w:rPr>
            </w:pPr>
          </w:p>
        </w:tc>
        <w:tc>
          <w:tcPr>
            <w:tcW w:w="360" w:type="dxa"/>
            <w:tcBorders>
              <w:top w:val="single" w:sz="4" w:space="0" w:color="000000"/>
              <w:left w:val="single" w:sz="4" w:space="0" w:color="000000"/>
              <w:bottom w:val="single" w:sz="4" w:space="0" w:color="000000"/>
              <w:right w:val="single" w:sz="4" w:space="0" w:color="000000"/>
            </w:tcBorders>
          </w:tcPr>
          <w:p w14:paraId="4452B7C7" w14:textId="3FC897F5" w:rsidR="008020AB" w:rsidRPr="00D75C96" w:rsidRDefault="003C69BD">
            <w:pPr>
              <w:spacing w:after="0" w:line="240" w:lineRule="auto"/>
              <w:ind w:left="0" w:hanging="2"/>
              <w:jc w:val="center"/>
              <w:rPr>
                <w:sz w:val="22"/>
                <w:szCs w:val="22"/>
              </w:rPr>
            </w:pPr>
            <w:r w:rsidRPr="00D75C96">
              <w:rPr>
                <w:sz w:val="22"/>
                <w:szCs w:val="22"/>
              </w:rPr>
              <w:t>X</w:t>
            </w:r>
          </w:p>
        </w:tc>
        <w:tc>
          <w:tcPr>
            <w:tcW w:w="2700" w:type="dxa"/>
            <w:tcBorders>
              <w:top w:val="nil"/>
              <w:left w:val="single" w:sz="4" w:space="0" w:color="000000"/>
              <w:bottom w:val="nil"/>
              <w:right w:val="nil"/>
            </w:tcBorders>
          </w:tcPr>
          <w:p w14:paraId="3461258F" w14:textId="77777777" w:rsidR="008020AB" w:rsidRPr="00D75C96" w:rsidRDefault="005F6EC4">
            <w:pPr>
              <w:spacing w:after="0" w:line="240" w:lineRule="auto"/>
              <w:ind w:left="0" w:hanging="2"/>
              <w:rPr>
                <w:sz w:val="22"/>
                <w:szCs w:val="22"/>
              </w:rPr>
            </w:pPr>
            <w:r w:rsidRPr="00D75C96">
              <w:rPr>
                <w:sz w:val="22"/>
                <w:szCs w:val="22"/>
              </w:rPr>
              <w:t>Workshop/Training</w:t>
            </w:r>
          </w:p>
        </w:tc>
      </w:tr>
      <w:tr w:rsidR="00014CAE" w:rsidRPr="00D75C96" w14:paraId="12B368AA" w14:textId="77777777" w:rsidTr="00014CAE">
        <w:tc>
          <w:tcPr>
            <w:tcW w:w="299" w:type="dxa"/>
            <w:tcBorders>
              <w:top w:val="single" w:sz="4" w:space="0" w:color="000000"/>
              <w:left w:val="nil"/>
              <w:bottom w:val="single" w:sz="4" w:space="0" w:color="000000"/>
              <w:right w:val="nil"/>
            </w:tcBorders>
          </w:tcPr>
          <w:p w14:paraId="0097B0DF" w14:textId="77777777" w:rsidR="008020AB" w:rsidRPr="00D75C96" w:rsidRDefault="008020AB">
            <w:pPr>
              <w:spacing w:after="0" w:line="240" w:lineRule="auto"/>
              <w:ind w:left="0" w:hanging="2"/>
              <w:rPr>
                <w:sz w:val="22"/>
                <w:szCs w:val="22"/>
              </w:rPr>
            </w:pPr>
          </w:p>
        </w:tc>
        <w:tc>
          <w:tcPr>
            <w:tcW w:w="1167" w:type="dxa"/>
            <w:tcBorders>
              <w:top w:val="nil"/>
              <w:left w:val="nil"/>
              <w:bottom w:val="nil"/>
              <w:right w:val="nil"/>
            </w:tcBorders>
          </w:tcPr>
          <w:p w14:paraId="5668FB01" w14:textId="77777777" w:rsidR="008020AB" w:rsidRPr="00D75C96" w:rsidRDefault="008020AB">
            <w:pPr>
              <w:spacing w:after="0" w:line="240" w:lineRule="auto"/>
              <w:ind w:left="0" w:hanging="2"/>
              <w:rPr>
                <w:sz w:val="22"/>
                <w:szCs w:val="22"/>
              </w:rPr>
            </w:pPr>
          </w:p>
        </w:tc>
        <w:tc>
          <w:tcPr>
            <w:tcW w:w="372" w:type="dxa"/>
            <w:tcBorders>
              <w:top w:val="nil"/>
              <w:left w:val="nil"/>
              <w:bottom w:val="nil"/>
              <w:right w:val="nil"/>
            </w:tcBorders>
          </w:tcPr>
          <w:p w14:paraId="147244B6" w14:textId="77777777" w:rsidR="008020AB" w:rsidRPr="00D75C96" w:rsidRDefault="008020AB">
            <w:pPr>
              <w:spacing w:after="0" w:line="240" w:lineRule="auto"/>
              <w:ind w:left="0" w:hanging="2"/>
              <w:rPr>
                <w:sz w:val="22"/>
                <w:szCs w:val="22"/>
              </w:rPr>
            </w:pPr>
          </w:p>
        </w:tc>
        <w:tc>
          <w:tcPr>
            <w:tcW w:w="372" w:type="dxa"/>
            <w:tcBorders>
              <w:top w:val="single" w:sz="4" w:space="0" w:color="000000"/>
              <w:left w:val="nil"/>
              <w:bottom w:val="single" w:sz="4" w:space="0" w:color="000000"/>
              <w:right w:val="nil"/>
            </w:tcBorders>
          </w:tcPr>
          <w:p w14:paraId="7EC2B5E8" w14:textId="77777777" w:rsidR="008020AB" w:rsidRPr="00D75C96" w:rsidRDefault="008020AB">
            <w:pPr>
              <w:spacing w:after="0" w:line="240" w:lineRule="auto"/>
              <w:ind w:left="0" w:hanging="2"/>
              <w:rPr>
                <w:sz w:val="22"/>
                <w:szCs w:val="22"/>
              </w:rPr>
            </w:pPr>
          </w:p>
        </w:tc>
        <w:tc>
          <w:tcPr>
            <w:tcW w:w="1385" w:type="dxa"/>
            <w:tcBorders>
              <w:top w:val="nil"/>
              <w:left w:val="nil"/>
              <w:bottom w:val="nil"/>
              <w:right w:val="nil"/>
            </w:tcBorders>
          </w:tcPr>
          <w:p w14:paraId="0EC9838A" w14:textId="77777777" w:rsidR="008020AB" w:rsidRPr="00D75C96" w:rsidRDefault="008020AB">
            <w:pPr>
              <w:spacing w:after="0" w:line="240" w:lineRule="auto"/>
              <w:ind w:left="0" w:hanging="2"/>
              <w:rPr>
                <w:sz w:val="22"/>
                <w:szCs w:val="22"/>
              </w:rPr>
            </w:pPr>
          </w:p>
        </w:tc>
        <w:tc>
          <w:tcPr>
            <w:tcW w:w="450" w:type="dxa"/>
            <w:tcBorders>
              <w:top w:val="nil"/>
              <w:left w:val="nil"/>
              <w:bottom w:val="nil"/>
              <w:right w:val="nil"/>
            </w:tcBorders>
          </w:tcPr>
          <w:p w14:paraId="63C7FB27" w14:textId="77777777" w:rsidR="008020AB" w:rsidRPr="00D75C96" w:rsidRDefault="008020AB">
            <w:pPr>
              <w:spacing w:after="0" w:line="240" w:lineRule="auto"/>
              <w:ind w:left="0" w:hanging="2"/>
              <w:rPr>
                <w:sz w:val="22"/>
                <w:szCs w:val="22"/>
              </w:rPr>
            </w:pPr>
          </w:p>
        </w:tc>
        <w:tc>
          <w:tcPr>
            <w:tcW w:w="360" w:type="dxa"/>
            <w:tcBorders>
              <w:top w:val="single" w:sz="4" w:space="0" w:color="000000"/>
              <w:left w:val="nil"/>
              <w:bottom w:val="single" w:sz="4" w:space="0" w:color="000000"/>
              <w:right w:val="nil"/>
            </w:tcBorders>
          </w:tcPr>
          <w:p w14:paraId="09FB05F3" w14:textId="77777777" w:rsidR="008020AB" w:rsidRPr="00D75C96" w:rsidRDefault="008020AB">
            <w:pPr>
              <w:spacing w:after="0" w:line="240" w:lineRule="auto"/>
              <w:ind w:left="0" w:hanging="2"/>
              <w:rPr>
                <w:sz w:val="22"/>
                <w:szCs w:val="22"/>
              </w:rPr>
            </w:pPr>
          </w:p>
        </w:tc>
        <w:tc>
          <w:tcPr>
            <w:tcW w:w="1332" w:type="dxa"/>
            <w:tcBorders>
              <w:top w:val="nil"/>
              <w:left w:val="nil"/>
              <w:bottom w:val="nil"/>
              <w:right w:val="nil"/>
            </w:tcBorders>
          </w:tcPr>
          <w:p w14:paraId="7E1FFBA3" w14:textId="77777777" w:rsidR="008020AB" w:rsidRPr="00D75C96" w:rsidRDefault="008020AB">
            <w:pPr>
              <w:spacing w:after="0" w:line="240" w:lineRule="auto"/>
              <w:ind w:left="0" w:hanging="2"/>
              <w:rPr>
                <w:sz w:val="22"/>
                <w:szCs w:val="22"/>
              </w:rPr>
            </w:pPr>
          </w:p>
        </w:tc>
        <w:tc>
          <w:tcPr>
            <w:tcW w:w="360" w:type="dxa"/>
            <w:tcBorders>
              <w:top w:val="nil"/>
              <w:left w:val="nil"/>
              <w:bottom w:val="nil"/>
              <w:right w:val="nil"/>
            </w:tcBorders>
          </w:tcPr>
          <w:p w14:paraId="2C059D8B" w14:textId="77777777" w:rsidR="008020AB" w:rsidRPr="00D75C96" w:rsidRDefault="008020AB">
            <w:pPr>
              <w:spacing w:after="0" w:line="240" w:lineRule="auto"/>
              <w:ind w:left="0" w:hanging="2"/>
              <w:rPr>
                <w:sz w:val="22"/>
                <w:szCs w:val="22"/>
              </w:rPr>
            </w:pPr>
          </w:p>
        </w:tc>
        <w:tc>
          <w:tcPr>
            <w:tcW w:w="360" w:type="dxa"/>
            <w:tcBorders>
              <w:top w:val="single" w:sz="4" w:space="0" w:color="000000"/>
              <w:left w:val="nil"/>
              <w:bottom w:val="single" w:sz="4" w:space="0" w:color="000000"/>
              <w:right w:val="nil"/>
            </w:tcBorders>
          </w:tcPr>
          <w:p w14:paraId="6E79A4C0" w14:textId="77777777" w:rsidR="008020AB" w:rsidRPr="00D75C96" w:rsidRDefault="008020AB">
            <w:pPr>
              <w:spacing w:after="0" w:line="240" w:lineRule="auto"/>
              <w:ind w:left="0" w:hanging="2"/>
              <w:rPr>
                <w:sz w:val="22"/>
                <w:szCs w:val="22"/>
              </w:rPr>
            </w:pPr>
          </w:p>
        </w:tc>
        <w:tc>
          <w:tcPr>
            <w:tcW w:w="2700" w:type="dxa"/>
            <w:tcBorders>
              <w:top w:val="nil"/>
              <w:left w:val="nil"/>
              <w:bottom w:val="nil"/>
              <w:right w:val="nil"/>
            </w:tcBorders>
          </w:tcPr>
          <w:p w14:paraId="4BB24FFD" w14:textId="77777777" w:rsidR="008020AB" w:rsidRPr="00D75C96" w:rsidRDefault="008020AB">
            <w:pPr>
              <w:spacing w:after="0" w:line="240" w:lineRule="auto"/>
              <w:ind w:left="0" w:hanging="2"/>
              <w:rPr>
                <w:sz w:val="22"/>
                <w:szCs w:val="22"/>
              </w:rPr>
            </w:pPr>
          </w:p>
        </w:tc>
      </w:tr>
      <w:tr w:rsidR="00014CAE" w:rsidRPr="00D75C96" w14:paraId="6870F7F2" w14:textId="77777777" w:rsidTr="00014CAE">
        <w:trPr>
          <w:trHeight w:val="197"/>
        </w:trPr>
        <w:tc>
          <w:tcPr>
            <w:tcW w:w="299" w:type="dxa"/>
            <w:tcBorders>
              <w:top w:val="single" w:sz="4" w:space="0" w:color="000000"/>
              <w:left w:val="single" w:sz="4" w:space="0" w:color="000000"/>
              <w:bottom w:val="single" w:sz="4" w:space="0" w:color="000000"/>
              <w:right w:val="single" w:sz="4" w:space="0" w:color="000000"/>
            </w:tcBorders>
          </w:tcPr>
          <w:p w14:paraId="07C30DBD" w14:textId="0D7A6ACC" w:rsidR="008020AB" w:rsidRPr="00D75C96" w:rsidRDefault="003C69BD">
            <w:pPr>
              <w:spacing w:after="0" w:line="240" w:lineRule="auto"/>
              <w:ind w:left="0" w:hanging="2"/>
              <w:rPr>
                <w:sz w:val="22"/>
                <w:szCs w:val="22"/>
              </w:rPr>
            </w:pPr>
            <w:r w:rsidRPr="00D75C96">
              <w:rPr>
                <w:sz w:val="22"/>
                <w:szCs w:val="22"/>
              </w:rPr>
              <w:t>X</w:t>
            </w:r>
          </w:p>
        </w:tc>
        <w:tc>
          <w:tcPr>
            <w:tcW w:w="1167" w:type="dxa"/>
            <w:tcBorders>
              <w:top w:val="nil"/>
              <w:left w:val="single" w:sz="4" w:space="0" w:color="000000"/>
              <w:bottom w:val="nil"/>
              <w:right w:val="nil"/>
            </w:tcBorders>
          </w:tcPr>
          <w:p w14:paraId="60F2C62D" w14:textId="77777777" w:rsidR="008020AB" w:rsidRPr="00D75C96" w:rsidRDefault="005F6EC4">
            <w:pPr>
              <w:spacing w:after="0" w:line="240" w:lineRule="auto"/>
              <w:ind w:left="0" w:hanging="2"/>
              <w:rPr>
                <w:sz w:val="22"/>
                <w:szCs w:val="22"/>
              </w:rPr>
            </w:pPr>
            <w:r w:rsidRPr="00D75C96">
              <w:rPr>
                <w:sz w:val="22"/>
                <w:szCs w:val="22"/>
              </w:rPr>
              <w:t>Webinar</w:t>
            </w:r>
          </w:p>
        </w:tc>
        <w:tc>
          <w:tcPr>
            <w:tcW w:w="372" w:type="dxa"/>
            <w:tcBorders>
              <w:top w:val="nil"/>
              <w:left w:val="nil"/>
              <w:bottom w:val="nil"/>
              <w:right w:val="single" w:sz="4" w:space="0" w:color="000000"/>
            </w:tcBorders>
          </w:tcPr>
          <w:p w14:paraId="5CA9A73B" w14:textId="77777777" w:rsidR="008020AB" w:rsidRPr="00D75C96" w:rsidRDefault="008020AB">
            <w:pPr>
              <w:spacing w:after="0" w:line="240" w:lineRule="auto"/>
              <w:ind w:left="0" w:hanging="2"/>
              <w:rPr>
                <w:sz w:val="22"/>
                <w:szCs w:val="22"/>
              </w:rPr>
            </w:pPr>
          </w:p>
        </w:tc>
        <w:tc>
          <w:tcPr>
            <w:tcW w:w="372" w:type="dxa"/>
            <w:tcBorders>
              <w:top w:val="single" w:sz="4" w:space="0" w:color="000000"/>
              <w:left w:val="single" w:sz="4" w:space="0" w:color="000000"/>
              <w:bottom w:val="single" w:sz="4" w:space="0" w:color="000000"/>
              <w:right w:val="single" w:sz="4" w:space="0" w:color="000000"/>
            </w:tcBorders>
          </w:tcPr>
          <w:p w14:paraId="73815813" w14:textId="77777777" w:rsidR="008020AB" w:rsidRPr="00D75C96" w:rsidRDefault="008020AB">
            <w:pPr>
              <w:spacing w:after="0" w:line="240" w:lineRule="auto"/>
              <w:ind w:left="0" w:hanging="2"/>
              <w:jc w:val="center"/>
              <w:rPr>
                <w:sz w:val="22"/>
                <w:szCs w:val="22"/>
              </w:rPr>
            </w:pPr>
          </w:p>
        </w:tc>
        <w:tc>
          <w:tcPr>
            <w:tcW w:w="1385" w:type="dxa"/>
            <w:tcBorders>
              <w:top w:val="nil"/>
              <w:left w:val="single" w:sz="4" w:space="0" w:color="000000"/>
              <w:bottom w:val="nil"/>
              <w:right w:val="nil"/>
            </w:tcBorders>
          </w:tcPr>
          <w:p w14:paraId="441CC258" w14:textId="77777777" w:rsidR="008020AB" w:rsidRPr="00D75C96" w:rsidRDefault="005F6EC4">
            <w:pPr>
              <w:spacing w:after="0" w:line="240" w:lineRule="auto"/>
              <w:ind w:left="0" w:hanging="2"/>
              <w:rPr>
                <w:sz w:val="22"/>
                <w:szCs w:val="22"/>
              </w:rPr>
            </w:pPr>
            <w:r w:rsidRPr="00D75C96">
              <w:rPr>
                <w:sz w:val="22"/>
                <w:szCs w:val="22"/>
              </w:rPr>
              <w:t>Short Video</w:t>
            </w:r>
          </w:p>
        </w:tc>
        <w:tc>
          <w:tcPr>
            <w:tcW w:w="450" w:type="dxa"/>
            <w:tcBorders>
              <w:top w:val="nil"/>
              <w:left w:val="nil"/>
              <w:bottom w:val="nil"/>
              <w:right w:val="single" w:sz="4" w:space="0" w:color="000000"/>
            </w:tcBorders>
          </w:tcPr>
          <w:p w14:paraId="1E58841C" w14:textId="77777777" w:rsidR="008020AB" w:rsidRPr="00D75C96" w:rsidRDefault="008020AB">
            <w:pPr>
              <w:spacing w:after="0" w:line="240" w:lineRule="auto"/>
              <w:ind w:left="0" w:hanging="2"/>
              <w:rPr>
                <w:sz w:val="22"/>
                <w:szCs w:val="22"/>
              </w:rPr>
            </w:pPr>
          </w:p>
        </w:tc>
        <w:tc>
          <w:tcPr>
            <w:tcW w:w="360" w:type="dxa"/>
            <w:tcBorders>
              <w:top w:val="single" w:sz="4" w:space="0" w:color="000000"/>
              <w:left w:val="single" w:sz="4" w:space="0" w:color="000000"/>
              <w:bottom w:val="single" w:sz="4" w:space="0" w:color="000000"/>
              <w:right w:val="single" w:sz="4" w:space="0" w:color="000000"/>
            </w:tcBorders>
          </w:tcPr>
          <w:p w14:paraId="44D0ED5B" w14:textId="2C5FD0F4" w:rsidR="008020AB" w:rsidRPr="00D75C96" w:rsidRDefault="003C69BD">
            <w:pPr>
              <w:spacing w:after="0" w:line="240" w:lineRule="auto"/>
              <w:ind w:left="0" w:hanging="2"/>
              <w:jc w:val="center"/>
              <w:rPr>
                <w:sz w:val="22"/>
                <w:szCs w:val="22"/>
              </w:rPr>
            </w:pPr>
            <w:r w:rsidRPr="00D75C96">
              <w:rPr>
                <w:sz w:val="22"/>
                <w:szCs w:val="22"/>
              </w:rPr>
              <w:t>X</w:t>
            </w:r>
          </w:p>
        </w:tc>
        <w:tc>
          <w:tcPr>
            <w:tcW w:w="1332" w:type="dxa"/>
            <w:tcBorders>
              <w:top w:val="nil"/>
              <w:left w:val="single" w:sz="4" w:space="0" w:color="000000"/>
              <w:bottom w:val="nil"/>
              <w:right w:val="nil"/>
            </w:tcBorders>
          </w:tcPr>
          <w:p w14:paraId="1E2E84F7" w14:textId="77777777" w:rsidR="008020AB" w:rsidRPr="00D75C96" w:rsidRDefault="005F6EC4">
            <w:pPr>
              <w:spacing w:after="0" w:line="240" w:lineRule="auto"/>
              <w:ind w:left="0" w:hanging="2"/>
              <w:rPr>
                <w:sz w:val="22"/>
                <w:szCs w:val="22"/>
              </w:rPr>
            </w:pPr>
            <w:r w:rsidRPr="00D75C96">
              <w:rPr>
                <w:sz w:val="22"/>
                <w:szCs w:val="22"/>
              </w:rPr>
              <w:t>Conference(s)</w:t>
            </w:r>
          </w:p>
        </w:tc>
        <w:tc>
          <w:tcPr>
            <w:tcW w:w="360" w:type="dxa"/>
            <w:tcBorders>
              <w:top w:val="nil"/>
              <w:left w:val="nil"/>
              <w:bottom w:val="nil"/>
              <w:right w:val="single" w:sz="4" w:space="0" w:color="000000"/>
            </w:tcBorders>
          </w:tcPr>
          <w:p w14:paraId="79AFC773" w14:textId="77777777" w:rsidR="008020AB" w:rsidRPr="00D75C96" w:rsidRDefault="008020AB">
            <w:pPr>
              <w:spacing w:after="0" w:line="240" w:lineRule="auto"/>
              <w:ind w:left="0" w:hanging="2"/>
              <w:rPr>
                <w:sz w:val="22"/>
                <w:szCs w:val="22"/>
              </w:rPr>
            </w:pPr>
          </w:p>
        </w:tc>
        <w:tc>
          <w:tcPr>
            <w:tcW w:w="360" w:type="dxa"/>
            <w:tcBorders>
              <w:top w:val="single" w:sz="4" w:space="0" w:color="000000"/>
              <w:left w:val="single" w:sz="4" w:space="0" w:color="000000"/>
              <w:bottom w:val="single" w:sz="4" w:space="0" w:color="000000"/>
              <w:right w:val="single" w:sz="4" w:space="0" w:color="000000"/>
            </w:tcBorders>
          </w:tcPr>
          <w:p w14:paraId="6783912B" w14:textId="65A20404" w:rsidR="008020AB" w:rsidRPr="00D75C96" w:rsidRDefault="002B73D0">
            <w:pPr>
              <w:spacing w:after="0" w:line="240" w:lineRule="auto"/>
              <w:ind w:left="0" w:hanging="2"/>
              <w:jc w:val="center"/>
              <w:rPr>
                <w:sz w:val="22"/>
                <w:szCs w:val="22"/>
              </w:rPr>
            </w:pPr>
            <w:r w:rsidRPr="00D75C96">
              <w:rPr>
                <w:sz w:val="22"/>
                <w:szCs w:val="22"/>
              </w:rPr>
              <w:t>X</w:t>
            </w:r>
          </w:p>
        </w:tc>
        <w:tc>
          <w:tcPr>
            <w:tcW w:w="2700" w:type="dxa"/>
            <w:tcBorders>
              <w:top w:val="nil"/>
              <w:left w:val="single" w:sz="4" w:space="0" w:color="000000"/>
              <w:bottom w:val="nil"/>
              <w:right w:val="single" w:sz="4" w:space="0" w:color="000000"/>
            </w:tcBorders>
          </w:tcPr>
          <w:p w14:paraId="3D650B58" w14:textId="44434380" w:rsidR="008020AB" w:rsidRPr="00D75C96" w:rsidRDefault="005F6EC4">
            <w:pPr>
              <w:spacing w:after="0" w:line="240" w:lineRule="auto"/>
              <w:ind w:left="0" w:hanging="2"/>
              <w:rPr>
                <w:sz w:val="22"/>
                <w:szCs w:val="22"/>
              </w:rPr>
            </w:pPr>
            <w:r w:rsidRPr="00D75C96">
              <w:rPr>
                <w:sz w:val="22"/>
                <w:szCs w:val="22"/>
              </w:rPr>
              <w:t>Other:</w:t>
            </w:r>
            <w:r w:rsidR="002B73D0" w:rsidRPr="00D75C96">
              <w:rPr>
                <w:sz w:val="22"/>
                <w:szCs w:val="22"/>
              </w:rPr>
              <w:t xml:space="preserve"> GNAR Initiative website, blogs, and toolkit</w:t>
            </w:r>
          </w:p>
        </w:tc>
      </w:tr>
    </w:tbl>
    <w:p w14:paraId="149320FD" w14:textId="77777777" w:rsidR="00040891" w:rsidRPr="00D75C96" w:rsidRDefault="005F6EC4" w:rsidP="00C7768E">
      <w:pPr>
        <w:spacing w:before="120" w:after="120"/>
        <w:ind w:leftChars="0" w:left="2" w:hanging="2"/>
        <w:rPr>
          <w:i/>
          <w:iCs/>
          <w:sz w:val="22"/>
          <w:szCs w:val="22"/>
        </w:rPr>
      </w:pPr>
      <w:r w:rsidRPr="00D75C96">
        <w:rPr>
          <w:b/>
          <w:i/>
          <w:iCs/>
          <w:sz w:val="22"/>
          <w:szCs w:val="22"/>
        </w:rPr>
        <w:t>8c.</w:t>
      </w:r>
      <w:r w:rsidRPr="00D75C96">
        <w:rPr>
          <w:i/>
          <w:iCs/>
          <w:sz w:val="22"/>
          <w:szCs w:val="22"/>
        </w:rPr>
        <w:t xml:space="preserve"> </w:t>
      </w:r>
      <w:r w:rsidR="00040891" w:rsidRPr="00D75C96">
        <w:rPr>
          <w:i/>
          <w:iCs/>
          <w:sz w:val="22"/>
          <w:szCs w:val="22"/>
        </w:rPr>
        <w:t xml:space="preserve">Please describe your plans for supporting the dissemination of your research. </w:t>
      </w:r>
    </w:p>
    <w:p w14:paraId="7BA33900" w14:textId="7A530E51" w:rsidR="008020AB" w:rsidRPr="00D75C96" w:rsidRDefault="00040891" w:rsidP="00040891">
      <w:pPr>
        <w:spacing w:before="120"/>
        <w:ind w:leftChars="0" w:left="2" w:hanging="2"/>
        <w:rPr>
          <w:rFonts w:ascii="Calibri" w:hAnsi="Calibri"/>
          <w:sz w:val="22"/>
          <w:szCs w:val="22"/>
        </w:rPr>
      </w:pPr>
      <w:r w:rsidRPr="00D75C96">
        <w:rPr>
          <w:rFonts w:ascii="Calibri" w:hAnsi="Calibri"/>
          <w:sz w:val="22"/>
          <w:szCs w:val="22"/>
        </w:rPr>
        <w:t>Our plans for disseminating this research are described in</w:t>
      </w:r>
      <w:r w:rsidR="002B73D0" w:rsidRPr="00D75C96">
        <w:rPr>
          <w:rFonts w:ascii="Calibri" w:hAnsi="Calibri"/>
          <w:sz w:val="22"/>
          <w:szCs w:val="22"/>
        </w:rPr>
        <w:t>-</w:t>
      </w:r>
      <w:r w:rsidRPr="00D75C96">
        <w:rPr>
          <w:rFonts w:ascii="Calibri" w:hAnsi="Calibri"/>
          <w:sz w:val="22"/>
          <w:szCs w:val="22"/>
        </w:rPr>
        <w:t>depth above in Section 6</w:t>
      </w:r>
      <w:r w:rsidR="002B73D0" w:rsidRPr="00D75C96">
        <w:rPr>
          <w:rFonts w:ascii="Calibri" w:hAnsi="Calibri"/>
          <w:sz w:val="22"/>
          <w:szCs w:val="22"/>
        </w:rPr>
        <w:t xml:space="preserve"> (see Task 11)</w:t>
      </w:r>
      <w:r w:rsidRPr="00D75C96">
        <w:rPr>
          <w:rFonts w:ascii="Calibri" w:hAnsi="Calibri"/>
          <w:sz w:val="22"/>
          <w:szCs w:val="22"/>
        </w:rPr>
        <w:t>.</w:t>
      </w:r>
    </w:p>
    <w:p w14:paraId="79865557" w14:textId="77777777" w:rsidR="003C69BD" w:rsidRDefault="003C69BD">
      <w:pPr>
        <w:suppressAutoHyphens w:val="0"/>
        <w:ind w:leftChars="0" w:left="0" w:firstLineChars="0" w:firstLine="0"/>
        <w:textDirection w:val="lrTb"/>
        <w:textAlignment w:val="auto"/>
        <w:outlineLvl w:val="9"/>
        <w:rPr>
          <w:rFonts w:ascii="Tw Cen MT Condensed Extra Bold" w:eastAsia="Times New Roman" w:hAnsi="Tw Cen MT Condensed Extra Bold" w:cs="Times New Roman"/>
          <w:color w:val="262626"/>
          <w:sz w:val="32"/>
          <w:szCs w:val="32"/>
        </w:rPr>
      </w:pPr>
      <w:bookmarkStart w:id="1" w:name="_heading=h.arskcyyrftka" w:colFirst="0" w:colLast="0"/>
      <w:bookmarkEnd w:id="1"/>
      <w:r>
        <w:br w:type="page"/>
      </w:r>
    </w:p>
    <w:p w14:paraId="3FCEA205" w14:textId="6AFCFDDE" w:rsidR="008020AB" w:rsidRDefault="005F6EC4" w:rsidP="004076AD">
      <w:pPr>
        <w:pStyle w:val="Heading1"/>
        <w:spacing w:before="0"/>
        <w:ind w:leftChars="0" w:left="3" w:firstLineChars="0" w:firstLine="0"/>
      </w:pPr>
      <w:r>
        <w:lastRenderedPageBreak/>
        <w:t xml:space="preserve">OUTCOMES AND IMPACTS  </w:t>
      </w:r>
    </w:p>
    <w:p w14:paraId="27A8D2AE" w14:textId="0C81359C" w:rsidR="00EE1625" w:rsidRPr="00D75C96" w:rsidRDefault="003C69BD" w:rsidP="00EE1625">
      <w:pPr>
        <w:pStyle w:val="BodyText"/>
        <w:spacing w:after="120"/>
        <w:ind w:right="461"/>
        <w:rPr>
          <w:rFonts w:ascii="Calibri" w:eastAsia="Georgia" w:hAnsi="Calibri" w:cs="Calibri"/>
          <w:sz w:val="22"/>
          <w:szCs w:val="22"/>
        </w:rPr>
      </w:pPr>
      <w:r w:rsidRPr="00D75C96">
        <w:rPr>
          <w:rFonts w:ascii="Calibri" w:eastAsia="Georgia" w:hAnsi="Calibri" w:cs="Calibri"/>
          <w:sz w:val="22"/>
          <w:szCs w:val="22"/>
        </w:rPr>
        <w:t xml:space="preserve">To date, </w:t>
      </w:r>
      <w:r w:rsidR="001A09C3" w:rsidRPr="00D75C96">
        <w:rPr>
          <w:rFonts w:ascii="Calibri" w:eastAsia="Georgia" w:hAnsi="Calibri" w:cs="Calibri"/>
          <w:sz w:val="22"/>
          <w:szCs w:val="22"/>
        </w:rPr>
        <w:t xml:space="preserve">academics, particularly in the field of planning, </w:t>
      </w:r>
      <w:r w:rsidRPr="00D75C96">
        <w:rPr>
          <w:rFonts w:ascii="Calibri" w:eastAsia="Georgia" w:hAnsi="Calibri" w:cs="Calibri"/>
          <w:sz w:val="22"/>
          <w:szCs w:val="22"/>
        </w:rPr>
        <w:t>have largely ignored the planning context within gateway communities</w:t>
      </w:r>
      <w:r w:rsidR="00EE1625" w:rsidRPr="00D75C96">
        <w:rPr>
          <w:rFonts w:ascii="Calibri" w:eastAsia="Georgia" w:hAnsi="Calibri" w:cs="Calibri"/>
          <w:sz w:val="22"/>
          <w:szCs w:val="22"/>
        </w:rPr>
        <w:t>. I</w:t>
      </w:r>
      <w:r w:rsidR="001A09C3" w:rsidRPr="00D75C96">
        <w:rPr>
          <w:rFonts w:ascii="Calibri" w:eastAsia="Georgia" w:hAnsi="Calibri" w:cs="Calibri"/>
          <w:sz w:val="22"/>
          <w:szCs w:val="22"/>
        </w:rPr>
        <w:t xml:space="preserve">ndeed, prior to our </w:t>
      </w:r>
      <w:r w:rsidR="001A09C3" w:rsidRPr="00D75C96">
        <w:rPr>
          <w:rFonts w:ascii="Calibri" w:eastAsia="Georgia" w:hAnsi="Calibri" w:cs="Calibri"/>
          <w:i/>
          <w:iCs/>
          <w:sz w:val="22"/>
          <w:szCs w:val="22"/>
        </w:rPr>
        <w:t xml:space="preserve">Journal of the American Planning Association </w:t>
      </w:r>
      <w:r w:rsidR="001A09C3" w:rsidRPr="00D75C96">
        <w:rPr>
          <w:rFonts w:ascii="Calibri" w:eastAsia="Georgia" w:hAnsi="Calibri" w:cs="Calibri"/>
          <w:sz w:val="22"/>
          <w:szCs w:val="22"/>
        </w:rPr>
        <w:t>article on “Planning and Development Challenges in Western Gateway Communities” (Stoker et al. 202</w:t>
      </w:r>
      <w:r w:rsidR="009D4BE0" w:rsidRPr="00D75C96">
        <w:rPr>
          <w:rFonts w:ascii="Calibri" w:eastAsia="Georgia" w:hAnsi="Calibri" w:cs="Calibri"/>
          <w:sz w:val="22"/>
          <w:szCs w:val="22"/>
        </w:rPr>
        <w:t>1</w:t>
      </w:r>
      <w:r w:rsidR="008A0552" w:rsidRPr="00D75C96">
        <w:rPr>
          <w:rFonts w:ascii="Calibri" w:eastAsia="Georgia" w:hAnsi="Calibri" w:cs="Calibri"/>
          <w:sz w:val="22"/>
          <w:szCs w:val="22"/>
        </w:rPr>
        <w:t>)</w:t>
      </w:r>
      <w:r w:rsidR="00E84F6F" w:rsidRPr="00D75C96">
        <w:rPr>
          <w:rFonts w:ascii="Calibri" w:eastAsia="Georgia" w:hAnsi="Calibri" w:cs="Calibri"/>
          <w:sz w:val="22"/>
          <w:szCs w:val="22"/>
        </w:rPr>
        <w:t xml:space="preserve">, </w:t>
      </w:r>
      <w:r w:rsidR="001A09C3" w:rsidRPr="00D75C96">
        <w:rPr>
          <w:rFonts w:ascii="Calibri" w:eastAsia="Georgia" w:hAnsi="Calibri" w:cs="Calibri"/>
          <w:sz w:val="22"/>
          <w:szCs w:val="22"/>
        </w:rPr>
        <w:t>there was no commonly accepted term for referring to this type of communit</w:t>
      </w:r>
      <w:r w:rsidR="00E84F6F" w:rsidRPr="00D75C96">
        <w:rPr>
          <w:rFonts w:ascii="Calibri" w:eastAsia="Georgia" w:hAnsi="Calibri" w:cs="Calibri"/>
          <w:sz w:val="22"/>
          <w:szCs w:val="22"/>
        </w:rPr>
        <w:t>y, nor</w:t>
      </w:r>
      <w:r w:rsidR="00EE1625" w:rsidRPr="00D75C96">
        <w:rPr>
          <w:rFonts w:ascii="Calibri" w:eastAsia="Georgia" w:hAnsi="Calibri" w:cs="Calibri"/>
          <w:sz w:val="22"/>
          <w:szCs w:val="22"/>
        </w:rPr>
        <w:t xml:space="preserve"> measurable criteria for identifying gateway communities</w:t>
      </w:r>
      <w:r w:rsidRPr="00D75C96">
        <w:rPr>
          <w:rFonts w:ascii="Calibri" w:eastAsia="Georgia" w:hAnsi="Calibri" w:cs="Calibri"/>
          <w:sz w:val="22"/>
          <w:szCs w:val="22"/>
        </w:rPr>
        <w:t xml:space="preserve">. Our prior NITC-funded </w:t>
      </w:r>
      <w:r w:rsidR="001A09C3" w:rsidRPr="00D75C96">
        <w:rPr>
          <w:rFonts w:ascii="Calibri" w:eastAsia="Georgia" w:hAnsi="Calibri" w:cs="Calibri"/>
          <w:sz w:val="22"/>
          <w:szCs w:val="22"/>
        </w:rPr>
        <w:t xml:space="preserve">study </w:t>
      </w:r>
      <w:r w:rsidR="00587479" w:rsidRPr="00D75C96">
        <w:rPr>
          <w:rFonts w:ascii="Calibri" w:eastAsia="Georgia" w:hAnsi="Calibri" w:cs="Calibri"/>
          <w:sz w:val="22"/>
          <w:szCs w:val="22"/>
        </w:rPr>
        <w:t>documented the fact that</w:t>
      </w:r>
      <w:r w:rsidR="001A09C3" w:rsidRPr="00D75C96">
        <w:rPr>
          <w:rFonts w:ascii="Calibri" w:eastAsia="Georgia" w:hAnsi="Calibri" w:cs="Calibri"/>
          <w:sz w:val="22"/>
          <w:szCs w:val="22"/>
        </w:rPr>
        <w:t xml:space="preserve"> many of these </w:t>
      </w:r>
      <w:r w:rsidR="00587479" w:rsidRPr="00D75C96">
        <w:rPr>
          <w:rFonts w:ascii="Calibri" w:eastAsia="Georgia" w:hAnsi="Calibri" w:cs="Calibri"/>
          <w:sz w:val="22"/>
          <w:szCs w:val="22"/>
        </w:rPr>
        <w:t xml:space="preserve">rural, </w:t>
      </w:r>
      <w:r w:rsidR="001A09C3" w:rsidRPr="00D75C96">
        <w:rPr>
          <w:rFonts w:ascii="Calibri" w:eastAsia="Georgia" w:hAnsi="Calibri" w:cs="Calibri"/>
          <w:sz w:val="22"/>
          <w:szCs w:val="22"/>
        </w:rPr>
        <w:t xml:space="preserve">small towns are experiencing “big city issues,” such as acute issues associated with housing affordability and attainability, income inequality, cost of living, and </w:t>
      </w:r>
      <w:r w:rsidR="00EE1625" w:rsidRPr="00D75C96">
        <w:rPr>
          <w:rFonts w:ascii="Calibri" w:eastAsia="Georgia" w:hAnsi="Calibri" w:cs="Calibri"/>
          <w:sz w:val="22"/>
          <w:szCs w:val="22"/>
        </w:rPr>
        <w:t>transportation congestio</w:t>
      </w:r>
      <w:r w:rsidR="00587479" w:rsidRPr="00D75C96">
        <w:rPr>
          <w:rFonts w:ascii="Calibri" w:eastAsia="Georgia" w:hAnsi="Calibri" w:cs="Calibri"/>
          <w:sz w:val="22"/>
          <w:szCs w:val="22"/>
        </w:rPr>
        <w:t>n</w:t>
      </w:r>
      <w:r w:rsidR="001A09C3" w:rsidRPr="00D75C96">
        <w:rPr>
          <w:rFonts w:ascii="Calibri" w:eastAsia="Georgia" w:hAnsi="Calibri" w:cs="Calibri"/>
          <w:sz w:val="22"/>
          <w:szCs w:val="22"/>
        </w:rPr>
        <w:t xml:space="preserve">. It also revealed </w:t>
      </w:r>
      <w:r w:rsidR="00EE1625" w:rsidRPr="00D75C96">
        <w:rPr>
          <w:rFonts w:ascii="Calibri" w:eastAsia="Georgia" w:hAnsi="Calibri" w:cs="Calibri"/>
          <w:sz w:val="22"/>
          <w:szCs w:val="22"/>
        </w:rPr>
        <w:t>the fact that many of these communities, despite being small towns, are doing some very innovative and exciting things to respond to their planning and development challenges</w:t>
      </w:r>
      <w:r w:rsidR="00587479" w:rsidRPr="00D75C96">
        <w:rPr>
          <w:rFonts w:ascii="Calibri" w:eastAsia="Georgia" w:hAnsi="Calibri" w:cs="Calibri"/>
          <w:sz w:val="22"/>
          <w:szCs w:val="22"/>
        </w:rPr>
        <w:t xml:space="preserve"> and </w:t>
      </w:r>
      <w:r w:rsidR="008A0552" w:rsidRPr="00D75C96">
        <w:rPr>
          <w:rFonts w:ascii="Calibri" w:eastAsia="Georgia" w:hAnsi="Calibri" w:cs="Calibri"/>
          <w:sz w:val="22"/>
          <w:szCs w:val="22"/>
        </w:rPr>
        <w:t>highlight</w:t>
      </w:r>
      <w:r w:rsidR="00587479" w:rsidRPr="00D75C96">
        <w:rPr>
          <w:rFonts w:ascii="Calibri" w:eastAsia="Georgia" w:hAnsi="Calibri" w:cs="Calibri"/>
          <w:sz w:val="22"/>
          <w:szCs w:val="22"/>
        </w:rPr>
        <w:t>ed</w:t>
      </w:r>
      <w:r w:rsidR="00EE1625" w:rsidRPr="00D75C96">
        <w:rPr>
          <w:rFonts w:ascii="Calibri" w:eastAsia="Georgia" w:hAnsi="Calibri" w:cs="Calibri"/>
          <w:sz w:val="22"/>
          <w:szCs w:val="22"/>
        </w:rPr>
        <w:t xml:space="preserve"> the possibility that these small towns with big city issues might be valuable laboratories in which to study interconnected housing, transportation, and land use challenges and strategies. </w:t>
      </w:r>
      <w:r w:rsidR="00587479" w:rsidRPr="00D75C96">
        <w:rPr>
          <w:rFonts w:ascii="Calibri" w:eastAsia="Georgia" w:hAnsi="Calibri" w:cs="Calibri"/>
          <w:sz w:val="22"/>
          <w:szCs w:val="22"/>
        </w:rPr>
        <w:t>Our</w:t>
      </w:r>
      <w:r w:rsidR="00EE1625" w:rsidRPr="00D75C96">
        <w:rPr>
          <w:rFonts w:ascii="Calibri" w:eastAsia="Georgia" w:hAnsi="Calibri" w:cs="Calibri"/>
          <w:sz w:val="22"/>
          <w:szCs w:val="22"/>
        </w:rPr>
        <w:t xml:space="preserve"> 2018 </w:t>
      </w:r>
      <w:r w:rsidR="00587479" w:rsidRPr="00D75C96">
        <w:rPr>
          <w:rFonts w:ascii="Calibri" w:eastAsia="Georgia" w:hAnsi="Calibri" w:cs="Calibri"/>
          <w:sz w:val="22"/>
          <w:szCs w:val="22"/>
        </w:rPr>
        <w:t xml:space="preserve">NITC-funded </w:t>
      </w:r>
      <w:r w:rsidR="00EE1625" w:rsidRPr="00D75C96">
        <w:rPr>
          <w:rFonts w:ascii="Calibri" w:eastAsia="Georgia" w:hAnsi="Calibri" w:cs="Calibri"/>
          <w:sz w:val="22"/>
          <w:szCs w:val="22"/>
        </w:rPr>
        <w:t xml:space="preserve">study </w:t>
      </w:r>
      <w:r w:rsidRPr="00D75C96">
        <w:rPr>
          <w:rFonts w:ascii="Calibri" w:eastAsia="Georgia" w:hAnsi="Calibri" w:cs="Calibri"/>
          <w:sz w:val="22"/>
          <w:szCs w:val="22"/>
        </w:rPr>
        <w:t>established a foundation for planning and transportation research in these towns and cities and the regions around them</w:t>
      </w:r>
      <w:r w:rsidR="00EE1625" w:rsidRPr="00D75C96">
        <w:rPr>
          <w:rFonts w:ascii="Calibri" w:eastAsia="Georgia" w:hAnsi="Calibri" w:cs="Calibri"/>
          <w:sz w:val="22"/>
          <w:szCs w:val="22"/>
        </w:rPr>
        <w:t xml:space="preserve">; however, </w:t>
      </w:r>
      <w:proofErr w:type="gramStart"/>
      <w:r w:rsidR="00EE1625" w:rsidRPr="00D75C96">
        <w:rPr>
          <w:rFonts w:ascii="Calibri" w:eastAsia="Georgia" w:hAnsi="Calibri" w:cs="Calibri"/>
          <w:sz w:val="22"/>
          <w:szCs w:val="22"/>
        </w:rPr>
        <w:t>in order to</w:t>
      </w:r>
      <w:proofErr w:type="gramEnd"/>
      <w:r w:rsidR="00EE1625" w:rsidRPr="00D75C96">
        <w:rPr>
          <w:rFonts w:ascii="Calibri" w:eastAsia="Georgia" w:hAnsi="Calibri" w:cs="Calibri"/>
          <w:sz w:val="22"/>
          <w:szCs w:val="22"/>
        </w:rPr>
        <w:t xml:space="preserve"> do so, it was necessarily very broad and largely focused on</w:t>
      </w:r>
      <w:r w:rsidR="001A09C3" w:rsidRPr="00D75C96">
        <w:rPr>
          <w:rFonts w:ascii="Calibri" w:eastAsia="Georgia" w:hAnsi="Calibri" w:cs="Calibri"/>
          <w:sz w:val="22"/>
          <w:szCs w:val="22"/>
        </w:rPr>
        <w:t xml:space="preserve"> document</w:t>
      </w:r>
      <w:r w:rsidR="00EE1625" w:rsidRPr="00D75C96">
        <w:rPr>
          <w:rFonts w:ascii="Calibri" w:eastAsia="Georgia" w:hAnsi="Calibri" w:cs="Calibri"/>
          <w:sz w:val="22"/>
          <w:szCs w:val="22"/>
        </w:rPr>
        <w:t>ing</w:t>
      </w:r>
      <w:r w:rsidR="001A09C3" w:rsidRPr="00D75C96">
        <w:rPr>
          <w:rFonts w:ascii="Calibri" w:eastAsia="Georgia" w:hAnsi="Calibri" w:cs="Calibri"/>
          <w:sz w:val="22"/>
          <w:szCs w:val="22"/>
        </w:rPr>
        <w:t xml:space="preserve"> problems and challenges</w:t>
      </w:r>
      <w:r w:rsidR="00EE1625" w:rsidRPr="00D75C96">
        <w:rPr>
          <w:rFonts w:ascii="Calibri" w:eastAsia="Georgia" w:hAnsi="Calibri" w:cs="Calibri"/>
          <w:sz w:val="22"/>
          <w:szCs w:val="22"/>
        </w:rPr>
        <w:t>. This proposed study will directly build on and add to the results of our 2018 study through digging more deeply into interconnected housing, transportation, and land use challenges in western gateway communities and</w:t>
      </w:r>
      <w:r w:rsidR="00587479" w:rsidRPr="00D75C96">
        <w:rPr>
          <w:rFonts w:ascii="Calibri" w:eastAsia="Georgia" w:hAnsi="Calibri" w:cs="Calibri"/>
          <w:sz w:val="22"/>
          <w:szCs w:val="22"/>
        </w:rPr>
        <w:t>, importantly, through</w:t>
      </w:r>
      <w:r w:rsidR="00EE1625" w:rsidRPr="00D75C96">
        <w:rPr>
          <w:rFonts w:ascii="Calibri" w:eastAsia="Georgia" w:hAnsi="Calibri" w:cs="Calibri"/>
          <w:sz w:val="22"/>
          <w:szCs w:val="22"/>
        </w:rPr>
        <w:t xml:space="preserve"> exploring strategies and potential solutions. In so doing, we anticipate this study will produce recommendations and lessons learned for gateway communities at all stages of development as well as for other urban and rural communities across the country. </w:t>
      </w:r>
      <w:r w:rsidR="00E84F6F" w:rsidRPr="00D75C96">
        <w:rPr>
          <w:rFonts w:ascii="Calibri" w:eastAsia="Georgia" w:hAnsi="Calibri" w:cs="Calibri"/>
          <w:sz w:val="22"/>
          <w:szCs w:val="22"/>
        </w:rPr>
        <w:t xml:space="preserve">Our </w:t>
      </w:r>
      <w:r w:rsidR="00EE1625" w:rsidRPr="00D75C96">
        <w:rPr>
          <w:rFonts w:ascii="Calibri" w:eastAsia="Georgia" w:hAnsi="Calibri" w:cs="Calibri"/>
          <w:sz w:val="22"/>
          <w:szCs w:val="22"/>
        </w:rPr>
        <w:t xml:space="preserve">belief </w:t>
      </w:r>
      <w:r w:rsidR="00890FFA" w:rsidRPr="00D75C96">
        <w:rPr>
          <w:rFonts w:ascii="Calibri" w:eastAsia="Georgia" w:hAnsi="Calibri" w:cs="Calibri"/>
          <w:sz w:val="22"/>
          <w:szCs w:val="22"/>
        </w:rPr>
        <w:t xml:space="preserve">that </w:t>
      </w:r>
      <w:r w:rsidR="00EE1625" w:rsidRPr="00D75C96">
        <w:rPr>
          <w:rFonts w:ascii="Calibri" w:eastAsia="Georgia" w:hAnsi="Calibri" w:cs="Calibri"/>
          <w:sz w:val="22"/>
          <w:szCs w:val="22"/>
        </w:rPr>
        <w:t xml:space="preserve">this study will have relevance for communities elsewhere in the country, including urban communities, is bolstered by the fact that </w:t>
      </w:r>
      <w:r w:rsidR="000A67E7" w:rsidRPr="00D75C96">
        <w:rPr>
          <w:rFonts w:ascii="Calibri" w:eastAsia="Georgia" w:hAnsi="Calibri" w:cs="Calibri"/>
          <w:sz w:val="22"/>
          <w:szCs w:val="22"/>
        </w:rPr>
        <w:t xml:space="preserve">many </w:t>
      </w:r>
      <w:r w:rsidR="00EE1625" w:rsidRPr="00D75C96">
        <w:rPr>
          <w:rFonts w:ascii="Calibri" w:eastAsia="Georgia" w:hAnsi="Calibri" w:cs="Calibri"/>
          <w:sz w:val="22"/>
          <w:szCs w:val="22"/>
        </w:rPr>
        <w:t>urban and rural communities across the country</w:t>
      </w:r>
      <w:r w:rsidR="008472D1" w:rsidRPr="00D75C96">
        <w:rPr>
          <w:rFonts w:ascii="Calibri" w:eastAsia="Georgia" w:hAnsi="Calibri" w:cs="Calibri"/>
          <w:sz w:val="22"/>
          <w:szCs w:val="22"/>
        </w:rPr>
        <w:t xml:space="preserve">, as well as </w:t>
      </w:r>
      <w:r w:rsidR="00EE1625" w:rsidRPr="00D75C96">
        <w:rPr>
          <w:rFonts w:ascii="Calibri" w:eastAsia="Georgia" w:hAnsi="Calibri" w:cs="Calibri"/>
          <w:sz w:val="22"/>
          <w:szCs w:val="22"/>
        </w:rPr>
        <w:t>in Canada</w:t>
      </w:r>
      <w:r w:rsidR="008472D1" w:rsidRPr="00D75C96">
        <w:rPr>
          <w:rFonts w:ascii="Calibri" w:eastAsia="Georgia" w:hAnsi="Calibri" w:cs="Calibri"/>
          <w:sz w:val="22"/>
          <w:szCs w:val="22"/>
        </w:rPr>
        <w:t>,</w:t>
      </w:r>
      <w:r w:rsidR="00EE1625" w:rsidRPr="00D75C96">
        <w:rPr>
          <w:rFonts w:ascii="Calibri" w:eastAsia="Georgia" w:hAnsi="Calibri" w:cs="Calibri"/>
          <w:sz w:val="22"/>
          <w:szCs w:val="22"/>
        </w:rPr>
        <w:t xml:space="preserve"> have participated in our GNAR Initiative webinars on </w:t>
      </w:r>
      <w:r w:rsidR="00E84F6F" w:rsidRPr="00D75C96">
        <w:rPr>
          <w:rFonts w:ascii="Calibri" w:eastAsia="Georgia" w:hAnsi="Calibri" w:cs="Calibri"/>
          <w:sz w:val="22"/>
          <w:szCs w:val="22"/>
        </w:rPr>
        <w:t xml:space="preserve">amenity migration, </w:t>
      </w:r>
      <w:r w:rsidR="00EE1625" w:rsidRPr="00D75C96">
        <w:rPr>
          <w:rFonts w:ascii="Calibri" w:eastAsia="Georgia" w:hAnsi="Calibri" w:cs="Calibri"/>
          <w:sz w:val="22"/>
          <w:szCs w:val="22"/>
        </w:rPr>
        <w:t>housing</w:t>
      </w:r>
      <w:r w:rsidR="00E84F6F" w:rsidRPr="00D75C96">
        <w:rPr>
          <w:rFonts w:ascii="Calibri" w:eastAsia="Georgia" w:hAnsi="Calibri" w:cs="Calibri"/>
          <w:sz w:val="22"/>
          <w:szCs w:val="22"/>
        </w:rPr>
        <w:t>,</w:t>
      </w:r>
      <w:r w:rsidR="00EE1625" w:rsidRPr="00D75C96">
        <w:rPr>
          <w:rFonts w:ascii="Calibri" w:eastAsia="Georgia" w:hAnsi="Calibri" w:cs="Calibri"/>
          <w:sz w:val="22"/>
          <w:szCs w:val="22"/>
        </w:rPr>
        <w:t xml:space="preserve"> transportation issues and found examples and lessons learned from gateway communities to be helpful</w:t>
      </w:r>
      <w:r w:rsidR="00587479" w:rsidRPr="00D75C96">
        <w:rPr>
          <w:rFonts w:ascii="Calibri" w:eastAsia="Georgia" w:hAnsi="Calibri" w:cs="Calibri"/>
          <w:sz w:val="22"/>
          <w:szCs w:val="22"/>
        </w:rPr>
        <w:t xml:space="preserve"> for their own regions</w:t>
      </w:r>
      <w:r w:rsidR="00EE1625" w:rsidRPr="00D75C96">
        <w:rPr>
          <w:rFonts w:ascii="Calibri" w:eastAsia="Georgia" w:hAnsi="Calibri" w:cs="Calibri"/>
          <w:sz w:val="22"/>
          <w:szCs w:val="22"/>
        </w:rPr>
        <w:t>.</w:t>
      </w:r>
    </w:p>
    <w:p w14:paraId="3FD5424A" w14:textId="53724267" w:rsidR="00E84F6F" w:rsidRPr="00D75C96" w:rsidRDefault="003C69BD" w:rsidP="001A09C3">
      <w:pPr>
        <w:pStyle w:val="BodyText"/>
        <w:spacing w:before="2"/>
        <w:ind w:right="464"/>
        <w:rPr>
          <w:rFonts w:ascii="Calibri" w:eastAsia="Georgia" w:hAnsi="Calibri" w:cs="Calibri"/>
          <w:sz w:val="22"/>
          <w:szCs w:val="22"/>
        </w:rPr>
      </w:pPr>
      <w:r w:rsidRPr="00D75C96">
        <w:rPr>
          <w:rFonts w:ascii="Calibri" w:eastAsia="Georgia" w:hAnsi="Calibri" w:cs="Calibri"/>
          <w:sz w:val="22"/>
          <w:szCs w:val="22"/>
        </w:rPr>
        <w:t>Throughout</w:t>
      </w:r>
      <w:r w:rsidR="00A37635" w:rsidRPr="00D75C96">
        <w:rPr>
          <w:rFonts w:ascii="Calibri" w:eastAsia="Georgia" w:hAnsi="Calibri" w:cs="Calibri"/>
          <w:sz w:val="22"/>
          <w:szCs w:val="22"/>
        </w:rPr>
        <w:t xml:space="preserve"> </w:t>
      </w:r>
      <w:r w:rsidRPr="00D75C96">
        <w:rPr>
          <w:rFonts w:ascii="Calibri" w:eastAsia="Georgia" w:hAnsi="Calibri" w:cs="Calibri"/>
          <w:sz w:val="22"/>
          <w:szCs w:val="22"/>
        </w:rPr>
        <w:t xml:space="preserve">this study, we will engage heavily with gateway communities and regions throughout the </w:t>
      </w:r>
      <w:r w:rsidR="00977E85" w:rsidRPr="00D75C96">
        <w:rPr>
          <w:rFonts w:ascii="Calibri" w:eastAsia="Georgia" w:hAnsi="Calibri" w:cs="Calibri"/>
          <w:sz w:val="22"/>
          <w:szCs w:val="22"/>
        </w:rPr>
        <w:t>W</w:t>
      </w:r>
      <w:r w:rsidRPr="00D75C96">
        <w:rPr>
          <w:rFonts w:ascii="Calibri" w:eastAsia="Georgia" w:hAnsi="Calibri" w:cs="Calibri"/>
          <w:sz w:val="22"/>
          <w:szCs w:val="22"/>
        </w:rPr>
        <w:t>est</w:t>
      </w:r>
      <w:r w:rsidR="00A37635" w:rsidRPr="00D75C96">
        <w:rPr>
          <w:rFonts w:ascii="Calibri" w:eastAsia="Georgia" w:hAnsi="Calibri" w:cs="Calibri"/>
          <w:sz w:val="22"/>
          <w:szCs w:val="22"/>
        </w:rPr>
        <w:t xml:space="preserve"> through </w:t>
      </w:r>
      <w:r w:rsidRPr="00D75C96">
        <w:rPr>
          <w:rFonts w:ascii="Calibri" w:eastAsia="Georgia" w:hAnsi="Calibri" w:cs="Calibri"/>
          <w:sz w:val="22"/>
          <w:szCs w:val="22"/>
        </w:rPr>
        <w:t xml:space="preserve">our </w:t>
      </w:r>
      <w:r w:rsidR="00A37635" w:rsidRPr="00D75C96">
        <w:rPr>
          <w:rFonts w:ascii="Calibri" w:eastAsia="Georgia" w:hAnsi="Calibri" w:cs="Calibri"/>
          <w:sz w:val="22"/>
          <w:szCs w:val="22"/>
        </w:rPr>
        <w:t xml:space="preserve">survey, </w:t>
      </w:r>
      <w:r w:rsidRPr="00D75C96">
        <w:rPr>
          <w:rFonts w:ascii="Calibri" w:eastAsia="Georgia" w:hAnsi="Calibri" w:cs="Calibri"/>
          <w:sz w:val="22"/>
          <w:szCs w:val="22"/>
        </w:rPr>
        <w:t>case studie</w:t>
      </w:r>
      <w:r w:rsidR="00E84F6F" w:rsidRPr="00D75C96">
        <w:rPr>
          <w:rFonts w:ascii="Calibri" w:eastAsia="Georgia" w:hAnsi="Calibri" w:cs="Calibri"/>
          <w:sz w:val="22"/>
          <w:szCs w:val="22"/>
        </w:rPr>
        <w:t xml:space="preserve">s, </w:t>
      </w:r>
      <w:r w:rsidR="00587479" w:rsidRPr="00D75C96">
        <w:rPr>
          <w:rFonts w:ascii="Calibri" w:eastAsia="Georgia" w:hAnsi="Calibri" w:cs="Calibri"/>
          <w:sz w:val="22"/>
          <w:szCs w:val="22"/>
        </w:rPr>
        <w:t xml:space="preserve">commuter-shed mapping, </w:t>
      </w:r>
      <w:r w:rsidR="00E84F6F" w:rsidRPr="00D75C96">
        <w:rPr>
          <w:rFonts w:ascii="Calibri" w:eastAsia="Georgia" w:hAnsi="Calibri" w:cs="Calibri"/>
          <w:sz w:val="22"/>
          <w:szCs w:val="22"/>
        </w:rPr>
        <w:t>peer-to-peer workshops, and GNAR Initiative efforts</w:t>
      </w:r>
      <w:r w:rsidRPr="00D75C96">
        <w:rPr>
          <w:rFonts w:ascii="Calibri" w:eastAsia="Georgia" w:hAnsi="Calibri" w:cs="Calibri"/>
          <w:sz w:val="22"/>
          <w:szCs w:val="22"/>
        </w:rPr>
        <w:t>. The products of this study will include guidance and planning support tools to aid gateway communities and others in preparing for and responding to development pressures.</w:t>
      </w:r>
      <w:r w:rsidR="00E84F6F" w:rsidRPr="00D75C96">
        <w:rPr>
          <w:rFonts w:ascii="Calibri" w:eastAsia="Georgia" w:hAnsi="Calibri" w:cs="Calibri"/>
          <w:sz w:val="22"/>
          <w:szCs w:val="22"/>
        </w:rPr>
        <w:t xml:space="preserve"> We are also optimistic that we will be able to leverage the results of this study, along with ongoing National Science Foundation-funded research, to build interactive models and </w:t>
      </w:r>
      <w:r w:rsidR="000B3864" w:rsidRPr="00D75C96">
        <w:rPr>
          <w:rFonts w:ascii="Calibri" w:eastAsia="Georgia" w:hAnsi="Calibri" w:cs="Calibri"/>
          <w:sz w:val="22"/>
          <w:szCs w:val="22"/>
        </w:rPr>
        <w:t>planning support tools for gateway communities.</w:t>
      </w:r>
    </w:p>
    <w:p w14:paraId="53EAA20F" w14:textId="4445A6F8" w:rsidR="008A0552" w:rsidRPr="00D75C96" w:rsidRDefault="003C69BD" w:rsidP="008A0552">
      <w:pPr>
        <w:pStyle w:val="BodyText"/>
        <w:spacing w:before="120"/>
        <w:ind w:right="461"/>
        <w:rPr>
          <w:rFonts w:ascii="Calibri" w:eastAsia="Georgia" w:hAnsi="Calibri" w:cs="Calibri"/>
          <w:sz w:val="22"/>
          <w:szCs w:val="22"/>
        </w:rPr>
      </w:pPr>
      <w:r w:rsidRPr="00D75C96">
        <w:rPr>
          <w:rFonts w:ascii="Calibri" w:eastAsia="Georgia" w:hAnsi="Calibri" w:cs="Calibri"/>
          <w:sz w:val="22"/>
          <w:szCs w:val="22"/>
        </w:rPr>
        <w:t xml:space="preserve">We have structured our research approach </w:t>
      </w:r>
      <w:r w:rsidR="008A0552" w:rsidRPr="00D75C96">
        <w:rPr>
          <w:rFonts w:ascii="Calibri" w:eastAsia="Georgia" w:hAnsi="Calibri" w:cs="Calibri"/>
          <w:sz w:val="22"/>
          <w:szCs w:val="22"/>
        </w:rPr>
        <w:t xml:space="preserve">to </w:t>
      </w:r>
      <w:r w:rsidRPr="00D75C96">
        <w:rPr>
          <w:rFonts w:ascii="Calibri" w:eastAsia="Georgia" w:hAnsi="Calibri" w:cs="Calibri"/>
          <w:sz w:val="22"/>
          <w:szCs w:val="22"/>
        </w:rPr>
        <w:t xml:space="preserve">engage and train many students </w:t>
      </w:r>
      <w:r w:rsidR="000A67E7" w:rsidRPr="00D75C96">
        <w:rPr>
          <w:rFonts w:ascii="Calibri" w:eastAsia="Georgia" w:hAnsi="Calibri" w:cs="Calibri"/>
          <w:sz w:val="22"/>
          <w:szCs w:val="22"/>
        </w:rPr>
        <w:t xml:space="preserve">from multiple universities </w:t>
      </w:r>
      <w:r w:rsidRPr="00D75C96">
        <w:rPr>
          <w:rFonts w:ascii="Calibri" w:eastAsia="Georgia" w:hAnsi="Calibri" w:cs="Calibri"/>
          <w:sz w:val="22"/>
          <w:szCs w:val="22"/>
        </w:rPr>
        <w:t>through research assistantships</w:t>
      </w:r>
      <w:r w:rsidR="00465C63" w:rsidRPr="00D75C96">
        <w:rPr>
          <w:rFonts w:ascii="Calibri" w:eastAsia="Georgia" w:hAnsi="Calibri" w:cs="Calibri"/>
          <w:sz w:val="22"/>
          <w:szCs w:val="22"/>
        </w:rPr>
        <w:t>, the GNAR Lab,</w:t>
      </w:r>
      <w:r w:rsidRPr="00D75C96">
        <w:rPr>
          <w:rFonts w:ascii="Calibri" w:eastAsia="Georgia" w:hAnsi="Calibri" w:cs="Calibri"/>
          <w:sz w:val="22"/>
          <w:szCs w:val="22"/>
        </w:rPr>
        <w:t xml:space="preserve"> and classroom education. Our previous NITC-funded research assistants and </w:t>
      </w:r>
      <w:r w:rsidR="00587479" w:rsidRPr="00D75C96">
        <w:rPr>
          <w:rFonts w:ascii="Calibri" w:eastAsia="Georgia" w:hAnsi="Calibri" w:cs="Calibri"/>
          <w:sz w:val="22"/>
          <w:szCs w:val="22"/>
        </w:rPr>
        <w:t xml:space="preserve">other </w:t>
      </w:r>
      <w:r w:rsidRPr="00D75C96">
        <w:rPr>
          <w:rFonts w:ascii="Calibri" w:eastAsia="Georgia" w:hAnsi="Calibri" w:cs="Calibri"/>
          <w:sz w:val="22"/>
          <w:szCs w:val="22"/>
        </w:rPr>
        <w:t>students who have participated in</w:t>
      </w:r>
      <w:r w:rsidR="008A0552" w:rsidRPr="00D75C96">
        <w:rPr>
          <w:rFonts w:ascii="Calibri" w:eastAsia="Georgia" w:hAnsi="Calibri" w:cs="Calibri"/>
          <w:sz w:val="22"/>
          <w:szCs w:val="22"/>
        </w:rPr>
        <w:t xml:space="preserve"> GNAR Initiative efforts </w:t>
      </w:r>
      <w:r w:rsidR="00181501" w:rsidRPr="00D75C96">
        <w:rPr>
          <w:rFonts w:ascii="Calibri" w:eastAsia="Georgia" w:hAnsi="Calibri" w:cs="Calibri"/>
          <w:sz w:val="22"/>
          <w:szCs w:val="22"/>
        </w:rPr>
        <w:t xml:space="preserve">have </w:t>
      </w:r>
      <w:r w:rsidRPr="00D75C96">
        <w:rPr>
          <w:rFonts w:ascii="Calibri" w:eastAsia="Georgia" w:hAnsi="Calibri" w:cs="Calibri"/>
          <w:sz w:val="22"/>
          <w:szCs w:val="22"/>
        </w:rPr>
        <w:t xml:space="preserve">gone on to work as planners, community development specialists, and transportation experts in gateway regions </w:t>
      </w:r>
      <w:r w:rsidR="00C3771B" w:rsidRPr="00D75C96">
        <w:rPr>
          <w:rFonts w:ascii="Calibri" w:eastAsia="Georgia" w:hAnsi="Calibri" w:cs="Calibri"/>
          <w:sz w:val="22"/>
          <w:szCs w:val="22"/>
        </w:rPr>
        <w:t xml:space="preserve">such as </w:t>
      </w:r>
      <w:r w:rsidRPr="00D75C96">
        <w:rPr>
          <w:rFonts w:ascii="Calibri" w:eastAsia="Georgia" w:hAnsi="Calibri" w:cs="Calibri"/>
          <w:sz w:val="22"/>
          <w:szCs w:val="22"/>
        </w:rPr>
        <w:t xml:space="preserve">Driggs, Idaho; Missoula County, Montana; </w:t>
      </w:r>
      <w:r w:rsidR="00C3771B" w:rsidRPr="00D75C96">
        <w:rPr>
          <w:rFonts w:ascii="Calibri" w:eastAsia="Georgia" w:hAnsi="Calibri" w:cs="Calibri"/>
          <w:sz w:val="22"/>
          <w:szCs w:val="22"/>
        </w:rPr>
        <w:t xml:space="preserve">and </w:t>
      </w:r>
      <w:r w:rsidRPr="00D75C96">
        <w:rPr>
          <w:rFonts w:ascii="Calibri" w:eastAsia="Georgia" w:hAnsi="Calibri" w:cs="Calibri"/>
          <w:sz w:val="22"/>
          <w:szCs w:val="22"/>
        </w:rPr>
        <w:t xml:space="preserve">Grand County, Utah. </w:t>
      </w:r>
      <w:r w:rsidR="000D4895" w:rsidRPr="00D75C96">
        <w:rPr>
          <w:rFonts w:ascii="Calibri" w:eastAsia="Georgia" w:hAnsi="Calibri" w:cs="Calibri"/>
          <w:sz w:val="22"/>
          <w:szCs w:val="22"/>
        </w:rPr>
        <w:t>Gateway</w:t>
      </w:r>
      <w:r w:rsidR="000B3864" w:rsidRPr="00D75C96">
        <w:rPr>
          <w:rFonts w:ascii="Calibri" w:eastAsia="Georgia" w:hAnsi="Calibri" w:cs="Calibri"/>
          <w:sz w:val="22"/>
          <w:szCs w:val="22"/>
        </w:rPr>
        <w:t xml:space="preserve"> </w:t>
      </w:r>
      <w:r w:rsidR="000D4895" w:rsidRPr="00D75C96">
        <w:rPr>
          <w:rFonts w:ascii="Calibri" w:eastAsia="Georgia" w:hAnsi="Calibri" w:cs="Calibri"/>
          <w:sz w:val="22"/>
          <w:szCs w:val="22"/>
        </w:rPr>
        <w:t>communities</w:t>
      </w:r>
      <w:r w:rsidR="000B3864" w:rsidRPr="00D75C96">
        <w:rPr>
          <w:rFonts w:ascii="Calibri" w:eastAsia="Georgia" w:hAnsi="Calibri" w:cs="Calibri"/>
          <w:sz w:val="22"/>
          <w:szCs w:val="22"/>
        </w:rPr>
        <w:t xml:space="preserve"> </w:t>
      </w:r>
      <w:r w:rsidR="000D4895" w:rsidRPr="00D75C96">
        <w:rPr>
          <w:rFonts w:ascii="Calibri" w:eastAsia="Georgia" w:hAnsi="Calibri" w:cs="Calibri"/>
          <w:sz w:val="22"/>
          <w:szCs w:val="22"/>
        </w:rPr>
        <w:t>have told us they are</w:t>
      </w:r>
      <w:r w:rsidR="000B3864" w:rsidRPr="00D75C96">
        <w:rPr>
          <w:rFonts w:ascii="Calibri" w:eastAsia="Georgia" w:hAnsi="Calibri" w:cs="Calibri"/>
          <w:sz w:val="22"/>
          <w:szCs w:val="22"/>
        </w:rPr>
        <w:t xml:space="preserve"> eager </w:t>
      </w:r>
      <w:r w:rsidR="000D4895" w:rsidRPr="00D75C96">
        <w:rPr>
          <w:rFonts w:ascii="Calibri" w:eastAsia="Georgia" w:hAnsi="Calibri" w:cs="Calibri"/>
          <w:sz w:val="22"/>
          <w:szCs w:val="22"/>
        </w:rPr>
        <w:t>to hire staff</w:t>
      </w:r>
      <w:r w:rsidR="000B3864" w:rsidRPr="00D75C96">
        <w:rPr>
          <w:rFonts w:ascii="Calibri" w:eastAsia="Georgia" w:hAnsi="Calibri" w:cs="Calibri"/>
          <w:sz w:val="22"/>
          <w:szCs w:val="22"/>
        </w:rPr>
        <w:t xml:space="preserve"> who understand their unique </w:t>
      </w:r>
      <w:r w:rsidR="000D4895" w:rsidRPr="00D75C96">
        <w:rPr>
          <w:rFonts w:ascii="Calibri" w:eastAsia="Georgia" w:hAnsi="Calibri" w:cs="Calibri"/>
          <w:sz w:val="22"/>
          <w:szCs w:val="22"/>
        </w:rPr>
        <w:t xml:space="preserve">contexts; </w:t>
      </w:r>
      <w:r w:rsidR="000B3864" w:rsidRPr="00D75C96">
        <w:rPr>
          <w:rFonts w:ascii="Calibri" w:eastAsia="Georgia" w:hAnsi="Calibri" w:cs="Calibri"/>
          <w:sz w:val="22"/>
          <w:szCs w:val="22"/>
        </w:rPr>
        <w:t>we are training students to</w:t>
      </w:r>
      <w:r w:rsidRPr="00D75C96">
        <w:rPr>
          <w:rFonts w:ascii="Calibri" w:eastAsia="Georgia" w:hAnsi="Calibri" w:cs="Calibri"/>
          <w:sz w:val="22"/>
          <w:szCs w:val="22"/>
        </w:rPr>
        <w:t xml:space="preserve"> meet that demand.</w:t>
      </w:r>
    </w:p>
    <w:p w14:paraId="56DD3954" w14:textId="74231749" w:rsidR="000B3864" w:rsidRPr="00D75C96" w:rsidRDefault="000D4895" w:rsidP="001A09C3">
      <w:pPr>
        <w:pStyle w:val="BodyText"/>
        <w:spacing w:before="120"/>
        <w:ind w:right="461"/>
        <w:rPr>
          <w:rFonts w:ascii="Calibri" w:eastAsia="Georgia" w:hAnsi="Calibri" w:cs="Calibri"/>
          <w:sz w:val="22"/>
          <w:szCs w:val="22"/>
        </w:rPr>
      </w:pPr>
      <w:r w:rsidRPr="00D75C96">
        <w:rPr>
          <w:rFonts w:ascii="Calibri" w:eastAsia="Georgia" w:hAnsi="Calibri" w:cs="Calibri"/>
          <w:sz w:val="22"/>
          <w:szCs w:val="22"/>
        </w:rPr>
        <w:t>Importantly,</w:t>
      </w:r>
      <w:r w:rsidR="00181501" w:rsidRPr="00D75C96">
        <w:rPr>
          <w:rFonts w:ascii="Calibri" w:eastAsia="Georgia" w:hAnsi="Calibri" w:cs="Calibri"/>
          <w:sz w:val="22"/>
          <w:szCs w:val="22"/>
        </w:rPr>
        <w:t xml:space="preserve"> t</w:t>
      </w:r>
      <w:r w:rsidR="008A0552" w:rsidRPr="00D75C96">
        <w:rPr>
          <w:rFonts w:ascii="Calibri" w:eastAsia="Georgia" w:hAnsi="Calibri" w:cs="Calibri"/>
          <w:sz w:val="22"/>
          <w:szCs w:val="22"/>
        </w:rPr>
        <w:t>his study couldn’t be timelier</w:t>
      </w:r>
      <w:r w:rsidR="000B3864" w:rsidRPr="00D75C96">
        <w:rPr>
          <w:rFonts w:ascii="Calibri" w:eastAsia="Georgia" w:hAnsi="Calibri" w:cs="Calibri"/>
          <w:sz w:val="22"/>
          <w:szCs w:val="22"/>
        </w:rPr>
        <w:t>. Over the last year, i</w:t>
      </w:r>
      <w:r w:rsidR="008A0552" w:rsidRPr="00D75C96">
        <w:rPr>
          <w:rFonts w:ascii="Calibri" w:eastAsia="Georgia" w:hAnsi="Calibri" w:cs="Calibri"/>
          <w:sz w:val="22"/>
          <w:szCs w:val="22"/>
        </w:rPr>
        <w:t xml:space="preserve">nterconnected housing, transportation, and land use challenges </w:t>
      </w:r>
      <w:r w:rsidR="000B3864" w:rsidRPr="00D75C96">
        <w:rPr>
          <w:rFonts w:ascii="Calibri" w:eastAsia="Georgia" w:hAnsi="Calibri" w:cs="Calibri"/>
          <w:sz w:val="22"/>
          <w:szCs w:val="22"/>
        </w:rPr>
        <w:t>have been</w:t>
      </w:r>
      <w:r w:rsidR="008A0552" w:rsidRPr="00D75C96">
        <w:rPr>
          <w:rFonts w:ascii="Calibri" w:eastAsia="Georgia" w:hAnsi="Calibri" w:cs="Calibri"/>
          <w:sz w:val="22"/>
          <w:szCs w:val="22"/>
        </w:rPr>
        <w:t xml:space="preserve"> rapidly playing out in gateway </w:t>
      </w:r>
      <w:r w:rsidR="00587479" w:rsidRPr="00D75C96">
        <w:rPr>
          <w:rFonts w:ascii="Calibri" w:eastAsia="Georgia" w:hAnsi="Calibri" w:cs="Calibri"/>
          <w:sz w:val="22"/>
          <w:szCs w:val="22"/>
        </w:rPr>
        <w:t xml:space="preserve">regions </w:t>
      </w:r>
      <w:r w:rsidR="008A0552" w:rsidRPr="00D75C96">
        <w:rPr>
          <w:rFonts w:ascii="Calibri" w:eastAsia="Georgia" w:hAnsi="Calibri" w:cs="Calibri"/>
          <w:sz w:val="22"/>
          <w:szCs w:val="22"/>
        </w:rPr>
        <w:t xml:space="preserve">across the </w:t>
      </w:r>
      <w:r w:rsidR="00181501" w:rsidRPr="00D75C96">
        <w:rPr>
          <w:rFonts w:ascii="Calibri" w:eastAsia="Georgia" w:hAnsi="Calibri" w:cs="Calibri"/>
          <w:sz w:val="22"/>
          <w:szCs w:val="22"/>
        </w:rPr>
        <w:t>W</w:t>
      </w:r>
      <w:r w:rsidR="008A0552" w:rsidRPr="00D75C96">
        <w:rPr>
          <w:rFonts w:ascii="Calibri" w:eastAsia="Georgia" w:hAnsi="Calibri" w:cs="Calibri"/>
          <w:sz w:val="22"/>
          <w:szCs w:val="22"/>
        </w:rPr>
        <w:t>est due to COVID-19-related amenity migration and the Zoom Town phenomenon</w:t>
      </w:r>
      <w:r w:rsidR="00C4376D" w:rsidRPr="00D75C96">
        <w:rPr>
          <w:rFonts w:ascii="Calibri" w:eastAsia="Georgia" w:hAnsi="Calibri" w:cs="Calibri"/>
          <w:sz w:val="22"/>
          <w:szCs w:val="22"/>
        </w:rPr>
        <w:t xml:space="preserve">. </w:t>
      </w:r>
      <w:r w:rsidRPr="00D75C96">
        <w:rPr>
          <w:rFonts w:ascii="Calibri" w:eastAsia="Georgia" w:hAnsi="Calibri" w:cs="Calibri"/>
          <w:sz w:val="22"/>
          <w:szCs w:val="22"/>
        </w:rPr>
        <w:t>This has driven a lot of attention to the results of our 2018 NITC-funded study;</w:t>
      </w:r>
      <w:r w:rsidR="000B3864" w:rsidRPr="00D75C96">
        <w:rPr>
          <w:rFonts w:ascii="Calibri" w:eastAsia="Georgia" w:hAnsi="Calibri" w:cs="Calibri"/>
          <w:sz w:val="22"/>
          <w:szCs w:val="22"/>
        </w:rPr>
        <w:t xml:space="preserve"> our </w:t>
      </w:r>
      <w:r w:rsidR="008A0552" w:rsidRPr="00D75C96">
        <w:rPr>
          <w:rFonts w:ascii="Calibri" w:eastAsia="Georgia" w:hAnsi="Calibri" w:cs="Calibri"/>
          <w:sz w:val="22"/>
          <w:szCs w:val="22"/>
        </w:rPr>
        <w:t>Stoker et al. (202</w:t>
      </w:r>
      <w:r w:rsidR="009D4BE0" w:rsidRPr="00D75C96">
        <w:rPr>
          <w:rFonts w:ascii="Calibri" w:eastAsia="Georgia" w:hAnsi="Calibri" w:cs="Calibri"/>
          <w:sz w:val="22"/>
          <w:szCs w:val="22"/>
        </w:rPr>
        <w:t>1</w:t>
      </w:r>
      <w:r w:rsidR="008A0552" w:rsidRPr="00D75C96">
        <w:rPr>
          <w:rFonts w:ascii="Calibri" w:eastAsia="Georgia" w:hAnsi="Calibri" w:cs="Calibri"/>
          <w:sz w:val="22"/>
          <w:szCs w:val="22"/>
        </w:rPr>
        <w:t xml:space="preserve">) article has received </w:t>
      </w:r>
      <w:r w:rsidR="00587479" w:rsidRPr="00D75C96">
        <w:rPr>
          <w:rFonts w:ascii="Calibri" w:eastAsia="Georgia" w:hAnsi="Calibri" w:cs="Calibri"/>
          <w:sz w:val="22"/>
          <w:szCs w:val="22"/>
        </w:rPr>
        <w:t>over 8,000</w:t>
      </w:r>
      <w:r w:rsidR="008A0552" w:rsidRPr="00D75C96">
        <w:rPr>
          <w:rFonts w:ascii="Calibri" w:eastAsia="Georgia" w:hAnsi="Calibri" w:cs="Calibri"/>
          <w:sz w:val="22"/>
          <w:szCs w:val="22"/>
        </w:rPr>
        <w:t xml:space="preserve"> views since being published</w:t>
      </w:r>
      <w:r w:rsidR="000B3864" w:rsidRPr="00D75C96">
        <w:rPr>
          <w:rFonts w:ascii="Calibri" w:eastAsia="Georgia" w:hAnsi="Calibri" w:cs="Calibri"/>
          <w:sz w:val="22"/>
          <w:szCs w:val="22"/>
        </w:rPr>
        <w:t xml:space="preserve"> online</w:t>
      </w:r>
      <w:r w:rsidR="008A0552" w:rsidRPr="00D75C96">
        <w:rPr>
          <w:rFonts w:ascii="Calibri" w:eastAsia="Georgia" w:hAnsi="Calibri" w:cs="Calibri"/>
          <w:sz w:val="22"/>
          <w:szCs w:val="22"/>
        </w:rPr>
        <w:t xml:space="preserve"> in August 2020 and has been cited in </w:t>
      </w:r>
      <w:r w:rsidR="00587479" w:rsidRPr="00D75C96">
        <w:rPr>
          <w:rFonts w:ascii="Calibri" w:eastAsia="Georgia" w:hAnsi="Calibri" w:cs="Calibri"/>
          <w:sz w:val="22"/>
          <w:szCs w:val="22"/>
        </w:rPr>
        <w:t xml:space="preserve">a wide range of </w:t>
      </w:r>
      <w:r w:rsidR="00BB77AF" w:rsidRPr="00D75C96">
        <w:rPr>
          <w:rFonts w:ascii="Calibri" w:eastAsia="Georgia" w:hAnsi="Calibri" w:cs="Calibri"/>
          <w:sz w:val="22"/>
          <w:szCs w:val="22"/>
        </w:rPr>
        <w:t>media outlets</w:t>
      </w:r>
      <w:r w:rsidR="00587479" w:rsidRPr="00D75C96">
        <w:rPr>
          <w:rFonts w:ascii="Calibri" w:eastAsia="Georgia" w:hAnsi="Calibri" w:cs="Calibri"/>
          <w:sz w:val="22"/>
          <w:szCs w:val="22"/>
        </w:rPr>
        <w:t>,</w:t>
      </w:r>
      <w:r w:rsidR="00BB77AF" w:rsidRPr="00D75C96">
        <w:rPr>
          <w:rFonts w:ascii="Calibri" w:eastAsia="Georgia" w:hAnsi="Calibri" w:cs="Calibri"/>
          <w:sz w:val="22"/>
          <w:szCs w:val="22"/>
        </w:rPr>
        <w:t xml:space="preserve"> including</w:t>
      </w:r>
      <w:r w:rsidR="00587479" w:rsidRPr="00D75C96">
        <w:rPr>
          <w:rFonts w:ascii="Calibri" w:eastAsia="Georgia" w:hAnsi="Calibri" w:cs="Calibri"/>
          <w:sz w:val="22"/>
          <w:szCs w:val="22"/>
        </w:rPr>
        <w:t xml:space="preserve"> international publications such as</w:t>
      </w:r>
      <w:r w:rsidR="00BB77AF" w:rsidRPr="00D75C96">
        <w:rPr>
          <w:rFonts w:ascii="Calibri" w:eastAsia="Georgia" w:hAnsi="Calibri" w:cs="Calibri"/>
          <w:sz w:val="22"/>
          <w:szCs w:val="22"/>
        </w:rPr>
        <w:t xml:space="preserve"> </w:t>
      </w:r>
      <w:r w:rsidR="008A0552" w:rsidRPr="00D75C96">
        <w:rPr>
          <w:rFonts w:ascii="Calibri" w:eastAsia="Georgia" w:hAnsi="Calibri" w:cs="Calibri"/>
          <w:sz w:val="22"/>
          <w:szCs w:val="22"/>
        </w:rPr>
        <w:t xml:space="preserve">BBC News, Forbes, and Fast Company. </w:t>
      </w:r>
      <w:r w:rsidR="00876424" w:rsidRPr="00D75C96">
        <w:rPr>
          <w:rFonts w:ascii="Calibri" w:eastAsia="Georgia" w:hAnsi="Calibri" w:cs="Calibri"/>
          <w:sz w:val="22"/>
          <w:szCs w:val="22"/>
        </w:rPr>
        <w:t>Our proposed</w:t>
      </w:r>
      <w:r w:rsidR="00C4376D" w:rsidRPr="00D75C96">
        <w:rPr>
          <w:rFonts w:ascii="Calibri" w:eastAsia="Georgia" w:hAnsi="Calibri" w:cs="Calibri"/>
          <w:sz w:val="22"/>
          <w:szCs w:val="22"/>
        </w:rPr>
        <w:t xml:space="preserve"> study</w:t>
      </w:r>
      <w:r w:rsidR="003C69BD" w:rsidRPr="00D75C96">
        <w:rPr>
          <w:rFonts w:ascii="Calibri" w:eastAsia="Georgia" w:hAnsi="Calibri" w:cs="Calibri"/>
          <w:sz w:val="22"/>
          <w:szCs w:val="22"/>
        </w:rPr>
        <w:t xml:space="preserve"> will allow us to track the impacts of COVID-19 on </w:t>
      </w:r>
      <w:r w:rsidR="003C69BD" w:rsidRPr="00D75C96">
        <w:rPr>
          <w:rFonts w:ascii="Calibri" w:eastAsia="Georgia" w:hAnsi="Calibri" w:cs="Calibri"/>
          <w:sz w:val="22"/>
          <w:szCs w:val="22"/>
        </w:rPr>
        <w:lastRenderedPageBreak/>
        <w:t xml:space="preserve">gateway communities throughout the </w:t>
      </w:r>
      <w:r w:rsidR="00C4376D" w:rsidRPr="00D75C96">
        <w:rPr>
          <w:rFonts w:ascii="Calibri" w:eastAsia="Georgia" w:hAnsi="Calibri" w:cs="Calibri"/>
          <w:sz w:val="22"/>
          <w:szCs w:val="22"/>
        </w:rPr>
        <w:t>W</w:t>
      </w:r>
      <w:r w:rsidR="003C69BD" w:rsidRPr="00D75C96">
        <w:rPr>
          <w:rFonts w:ascii="Calibri" w:eastAsia="Georgia" w:hAnsi="Calibri" w:cs="Calibri"/>
          <w:sz w:val="22"/>
          <w:szCs w:val="22"/>
        </w:rPr>
        <w:t>est and develop a longitudinal dataset of planning and development pressures in these places. Th</w:t>
      </w:r>
      <w:r w:rsidR="00587479" w:rsidRPr="00D75C96">
        <w:rPr>
          <w:rFonts w:ascii="Calibri" w:eastAsia="Georgia" w:hAnsi="Calibri" w:cs="Calibri"/>
          <w:sz w:val="22"/>
          <w:szCs w:val="22"/>
        </w:rPr>
        <w:t>at, in turn,</w:t>
      </w:r>
      <w:r w:rsidR="003C69BD" w:rsidRPr="00D75C96">
        <w:rPr>
          <w:rFonts w:ascii="Calibri" w:eastAsia="Georgia" w:hAnsi="Calibri" w:cs="Calibri"/>
          <w:sz w:val="22"/>
          <w:szCs w:val="22"/>
        </w:rPr>
        <w:t xml:space="preserve"> </w:t>
      </w:r>
      <w:r w:rsidR="00A37635" w:rsidRPr="00D75C96">
        <w:rPr>
          <w:rFonts w:ascii="Calibri" w:eastAsia="Georgia" w:hAnsi="Calibri" w:cs="Calibri"/>
          <w:sz w:val="22"/>
          <w:szCs w:val="22"/>
        </w:rPr>
        <w:t xml:space="preserve">will </w:t>
      </w:r>
      <w:r w:rsidRPr="00D75C96">
        <w:rPr>
          <w:rFonts w:ascii="Calibri" w:eastAsia="Georgia" w:hAnsi="Calibri" w:cs="Calibri"/>
          <w:sz w:val="22"/>
          <w:szCs w:val="22"/>
        </w:rPr>
        <w:t>improve our</w:t>
      </w:r>
      <w:r w:rsidR="00A01EA8" w:rsidRPr="00D75C96">
        <w:rPr>
          <w:rFonts w:ascii="Calibri" w:eastAsia="Georgia" w:hAnsi="Calibri" w:cs="Calibri"/>
          <w:sz w:val="22"/>
          <w:szCs w:val="22"/>
        </w:rPr>
        <w:t xml:space="preserve"> </w:t>
      </w:r>
      <w:r w:rsidR="003C69BD" w:rsidRPr="00D75C96">
        <w:rPr>
          <w:rFonts w:ascii="Calibri" w:eastAsia="Georgia" w:hAnsi="Calibri" w:cs="Calibri"/>
          <w:sz w:val="22"/>
          <w:szCs w:val="22"/>
        </w:rPr>
        <w:t>understanding</w:t>
      </w:r>
      <w:r w:rsidR="00A01EA8" w:rsidRPr="00D75C96">
        <w:rPr>
          <w:rFonts w:ascii="Calibri" w:eastAsia="Georgia" w:hAnsi="Calibri" w:cs="Calibri"/>
          <w:sz w:val="22"/>
          <w:szCs w:val="22"/>
        </w:rPr>
        <w:t xml:space="preserve"> of</w:t>
      </w:r>
      <w:r w:rsidR="003C69BD" w:rsidRPr="00D75C96">
        <w:rPr>
          <w:rFonts w:ascii="Calibri" w:eastAsia="Georgia" w:hAnsi="Calibri" w:cs="Calibri"/>
          <w:sz w:val="22"/>
          <w:szCs w:val="22"/>
        </w:rPr>
        <w:t xml:space="preserve"> the development trajectories of these communities</w:t>
      </w:r>
      <w:r w:rsidR="00A37635" w:rsidRPr="00D75C96">
        <w:rPr>
          <w:rFonts w:ascii="Calibri" w:eastAsia="Georgia" w:hAnsi="Calibri" w:cs="Calibri"/>
          <w:sz w:val="22"/>
          <w:szCs w:val="22"/>
        </w:rPr>
        <w:t>,</w:t>
      </w:r>
      <w:r w:rsidR="00A01EA8" w:rsidRPr="00D75C96">
        <w:rPr>
          <w:rFonts w:ascii="Calibri" w:eastAsia="Georgia" w:hAnsi="Calibri" w:cs="Calibri"/>
          <w:sz w:val="22"/>
          <w:szCs w:val="22"/>
        </w:rPr>
        <w:t xml:space="preserve"> increase </w:t>
      </w:r>
      <w:r w:rsidRPr="00D75C96">
        <w:rPr>
          <w:rFonts w:ascii="Calibri" w:eastAsia="Georgia" w:hAnsi="Calibri" w:cs="Calibri"/>
          <w:sz w:val="22"/>
          <w:szCs w:val="22"/>
        </w:rPr>
        <w:t xml:space="preserve">our </w:t>
      </w:r>
      <w:r w:rsidR="00A01EA8" w:rsidRPr="00D75C96">
        <w:rPr>
          <w:rFonts w:ascii="Calibri" w:eastAsia="Georgia" w:hAnsi="Calibri" w:cs="Calibri"/>
          <w:sz w:val="22"/>
          <w:szCs w:val="22"/>
        </w:rPr>
        <w:t>ability to support them</w:t>
      </w:r>
      <w:r w:rsidR="00A37635" w:rsidRPr="00D75C96">
        <w:rPr>
          <w:rFonts w:ascii="Calibri" w:eastAsia="Georgia" w:hAnsi="Calibri" w:cs="Calibri"/>
          <w:sz w:val="22"/>
          <w:szCs w:val="22"/>
        </w:rPr>
        <w:t>, and create a wide variety of opportunities for ongoing research.</w:t>
      </w:r>
    </w:p>
    <w:p w14:paraId="6D4FEDE4" w14:textId="6B4EAA0F" w:rsidR="003C69BD" w:rsidRPr="00D75C96" w:rsidRDefault="003C69BD" w:rsidP="001A09C3">
      <w:pPr>
        <w:pStyle w:val="BodyText"/>
        <w:spacing w:before="120"/>
        <w:ind w:right="461"/>
        <w:rPr>
          <w:rFonts w:ascii="Calibri" w:eastAsia="Georgia" w:hAnsi="Calibri" w:cs="Calibri"/>
          <w:sz w:val="22"/>
          <w:szCs w:val="22"/>
        </w:rPr>
      </w:pPr>
      <w:r w:rsidRPr="00D75C96">
        <w:rPr>
          <w:rFonts w:ascii="Calibri" w:eastAsia="Georgia" w:hAnsi="Calibri" w:cs="Calibri"/>
          <w:sz w:val="22"/>
          <w:szCs w:val="22"/>
        </w:rPr>
        <w:t>Finally, we anticipate this work will lead to numerous webinars, conference presentations, invited talks, academic publications, and popular publications</w:t>
      </w:r>
      <w:r w:rsidR="00A37635" w:rsidRPr="00D75C96">
        <w:rPr>
          <w:rFonts w:ascii="Calibri" w:eastAsia="Georgia" w:hAnsi="Calibri" w:cs="Calibri"/>
          <w:sz w:val="22"/>
          <w:szCs w:val="22"/>
        </w:rPr>
        <w:t>,</w:t>
      </w:r>
      <w:r w:rsidR="000B3864" w:rsidRPr="00D75C96">
        <w:rPr>
          <w:rFonts w:ascii="Calibri" w:eastAsia="Georgia" w:hAnsi="Calibri" w:cs="Calibri"/>
          <w:sz w:val="22"/>
          <w:szCs w:val="22"/>
        </w:rPr>
        <w:t xml:space="preserve"> as did our prior </w:t>
      </w:r>
      <w:r w:rsidR="00A37635" w:rsidRPr="00D75C96">
        <w:rPr>
          <w:rFonts w:ascii="Calibri" w:eastAsia="Georgia" w:hAnsi="Calibri" w:cs="Calibri"/>
          <w:sz w:val="22"/>
          <w:szCs w:val="22"/>
        </w:rPr>
        <w:t xml:space="preserve">NITC-funded </w:t>
      </w:r>
      <w:r w:rsidR="000B3864" w:rsidRPr="00D75C96">
        <w:rPr>
          <w:rFonts w:ascii="Calibri" w:eastAsia="Georgia" w:hAnsi="Calibri" w:cs="Calibri"/>
          <w:sz w:val="22"/>
          <w:szCs w:val="22"/>
        </w:rPr>
        <w:t>study</w:t>
      </w:r>
      <w:r w:rsidR="008A0552" w:rsidRPr="00D75C96">
        <w:rPr>
          <w:rFonts w:ascii="Calibri" w:eastAsia="Georgia" w:hAnsi="Calibri" w:cs="Calibri"/>
          <w:sz w:val="22"/>
          <w:szCs w:val="22"/>
        </w:rPr>
        <w:t>. Through funding this study</w:t>
      </w:r>
      <w:r w:rsidR="000B3864" w:rsidRPr="00D75C96">
        <w:rPr>
          <w:rFonts w:ascii="Calibri" w:eastAsia="Georgia" w:hAnsi="Calibri" w:cs="Calibri"/>
          <w:sz w:val="22"/>
          <w:szCs w:val="22"/>
        </w:rPr>
        <w:t>,</w:t>
      </w:r>
      <w:r w:rsidR="008A0552" w:rsidRPr="00D75C96">
        <w:rPr>
          <w:rFonts w:ascii="Calibri" w:eastAsia="Georgia" w:hAnsi="Calibri" w:cs="Calibri"/>
          <w:sz w:val="22"/>
          <w:szCs w:val="22"/>
        </w:rPr>
        <w:t xml:space="preserve"> NITC has an opportunity to continue to distinguish itself as a leader in the emerging and increasingly important field of gateway community transportation and planning research and practice.</w:t>
      </w:r>
    </w:p>
    <w:p w14:paraId="7B93E882" w14:textId="77777777" w:rsidR="00D75C96" w:rsidRDefault="00D75C96">
      <w:pPr>
        <w:suppressAutoHyphens w:val="0"/>
        <w:ind w:leftChars="0" w:left="0" w:firstLineChars="0" w:firstLine="0"/>
        <w:textDirection w:val="lrTb"/>
        <w:textAlignment w:val="auto"/>
        <w:outlineLvl w:val="9"/>
        <w:rPr>
          <w:rFonts w:ascii="Tw Cen MT Condensed Extra Bold" w:eastAsia="Times New Roman" w:hAnsi="Tw Cen MT Condensed Extra Bold" w:cs="Times New Roman"/>
          <w:color w:val="262626"/>
          <w:sz w:val="32"/>
          <w:szCs w:val="32"/>
        </w:rPr>
      </w:pPr>
      <w:r>
        <w:br w:type="page"/>
      </w:r>
    </w:p>
    <w:p w14:paraId="7A4D328F" w14:textId="7A7F2AA5" w:rsidR="008020AB" w:rsidRDefault="005F6EC4" w:rsidP="004076AD">
      <w:pPr>
        <w:pStyle w:val="Heading1"/>
        <w:spacing w:before="0"/>
        <w:ind w:leftChars="0" w:left="3" w:firstLineChars="0" w:firstLine="0"/>
      </w:pPr>
      <w:r>
        <w:lastRenderedPageBreak/>
        <w:t>REFERENCES</w:t>
      </w:r>
    </w:p>
    <w:p w14:paraId="4DC983AF" w14:textId="774945ED"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Daigle, J. J. (2008). Transportation research needs in national parks: A summary and exploration of future trends.</w:t>
      </w:r>
      <w:r w:rsidR="00F61BCC">
        <w:rPr>
          <w:rFonts w:ascii="Calibri" w:eastAsia="Georgia" w:hAnsi="Calibri" w:cs="Calibri"/>
          <w:sz w:val="20"/>
          <w:szCs w:val="20"/>
        </w:rPr>
        <w:t xml:space="preserve"> </w:t>
      </w:r>
      <w:r w:rsidRPr="000D4895">
        <w:rPr>
          <w:rFonts w:ascii="Calibri" w:eastAsia="Georgia" w:hAnsi="Calibri" w:cs="Calibri"/>
          <w:i/>
          <w:sz w:val="20"/>
          <w:szCs w:val="20"/>
        </w:rPr>
        <w:t>George Wright Forum</w:t>
      </w:r>
      <w:r w:rsidRPr="00F61BCC">
        <w:rPr>
          <w:rFonts w:ascii="Calibri" w:eastAsia="Georgia" w:hAnsi="Calibri" w:cs="Calibri"/>
          <w:i/>
          <w:iCs/>
          <w:sz w:val="20"/>
          <w:szCs w:val="20"/>
        </w:rPr>
        <w:t>,</w:t>
      </w:r>
      <w:r w:rsidRPr="003C69BD">
        <w:rPr>
          <w:rFonts w:ascii="Calibri" w:eastAsia="Georgia" w:hAnsi="Calibri" w:cs="Calibri"/>
          <w:sz w:val="20"/>
          <w:szCs w:val="20"/>
        </w:rPr>
        <w:t xml:space="preserve"> 25(1)</w:t>
      </w:r>
      <w:r w:rsidR="00C40CD0">
        <w:rPr>
          <w:rFonts w:ascii="Calibri" w:eastAsia="Georgia" w:hAnsi="Calibri" w:cs="Calibri"/>
          <w:sz w:val="20"/>
          <w:szCs w:val="20"/>
        </w:rPr>
        <w:t xml:space="preserve">: </w:t>
      </w:r>
      <w:r w:rsidRPr="003C69BD">
        <w:rPr>
          <w:rFonts w:ascii="Calibri" w:eastAsia="Georgia" w:hAnsi="Calibri" w:cs="Calibri"/>
          <w:sz w:val="20"/>
          <w:szCs w:val="20"/>
        </w:rPr>
        <w:t>57–64.</w:t>
      </w:r>
    </w:p>
    <w:p w14:paraId="692814BD" w14:textId="503FD656" w:rsidR="000B3864" w:rsidRPr="00C40CD0" w:rsidRDefault="000B3864" w:rsidP="00C40CD0">
      <w:pPr>
        <w:pStyle w:val="BodyText"/>
        <w:spacing w:before="120"/>
        <w:ind w:right="461"/>
        <w:textDirection w:val="btLr"/>
        <w:rPr>
          <w:rFonts w:ascii="Calibri" w:hAnsi="Calibri" w:cs="Calibri"/>
          <w:color w:val="000000" w:themeColor="text1"/>
          <w:sz w:val="20"/>
          <w:szCs w:val="20"/>
        </w:rPr>
      </w:pPr>
      <w:r w:rsidRPr="00C40CD0">
        <w:rPr>
          <w:rFonts w:ascii="Calibri" w:hAnsi="Calibri" w:cs="Calibri"/>
          <w:color w:val="000000" w:themeColor="text1"/>
          <w:sz w:val="20"/>
          <w:szCs w:val="20"/>
        </w:rPr>
        <w:t xml:space="preserve">Darling, E. (2005). The city in the country: wilderness gentrification and the rent gap. </w:t>
      </w:r>
      <w:r w:rsidRPr="000D4895">
        <w:rPr>
          <w:rFonts w:ascii="Calibri" w:hAnsi="Calibri" w:cs="Calibri"/>
          <w:i/>
          <w:color w:val="000000" w:themeColor="text1"/>
          <w:sz w:val="20"/>
          <w:szCs w:val="20"/>
        </w:rPr>
        <w:t>Environment and Planning</w:t>
      </w:r>
      <w:r w:rsidRPr="00C40CD0">
        <w:rPr>
          <w:rFonts w:ascii="Calibri" w:hAnsi="Calibri" w:cs="Calibri"/>
          <w:color w:val="000000" w:themeColor="text1"/>
          <w:sz w:val="20"/>
          <w:szCs w:val="20"/>
        </w:rPr>
        <w:t>,</w:t>
      </w:r>
      <w:r w:rsidR="00EC3BCC">
        <w:rPr>
          <w:rFonts w:ascii="Calibri" w:hAnsi="Calibri" w:cs="Calibri"/>
          <w:color w:val="000000" w:themeColor="text1"/>
          <w:sz w:val="20"/>
          <w:szCs w:val="20"/>
        </w:rPr>
        <w:t xml:space="preserve"> </w:t>
      </w:r>
      <w:r w:rsidRPr="00C40CD0">
        <w:rPr>
          <w:rFonts w:ascii="Calibri" w:hAnsi="Calibri" w:cs="Calibri"/>
          <w:color w:val="000000" w:themeColor="text1"/>
          <w:sz w:val="20"/>
          <w:szCs w:val="20"/>
        </w:rPr>
        <w:t>37(6)</w:t>
      </w:r>
      <w:r w:rsidR="00C40CD0">
        <w:rPr>
          <w:rFonts w:ascii="Calibri" w:hAnsi="Calibri" w:cs="Calibri"/>
          <w:color w:val="000000" w:themeColor="text1"/>
          <w:sz w:val="20"/>
          <w:szCs w:val="20"/>
        </w:rPr>
        <w:t xml:space="preserve">: </w:t>
      </w:r>
      <w:r w:rsidRPr="00C40CD0">
        <w:rPr>
          <w:rFonts w:ascii="Calibri" w:hAnsi="Calibri" w:cs="Calibri"/>
          <w:color w:val="000000" w:themeColor="text1"/>
          <w:sz w:val="20"/>
          <w:szCs w:val="20"/>
        </w:rPr>
        <w:t xml:space="preserve">1015-1032. </w:t>
      </w:r>
    </w:p>
    <w:p w14:paraId="75047B7A" w14:textId="583AF724"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 xml:space="preserve">Dilworth, V. A. (2003). </w:t>
      </w:r>
      <w:r w:rsidRPr="000D4895">
        <w:rPr>
          <w:rFonts w:ascii="Calibri" w:eastAsia="Georgia" w:hAnsi="Calibri" w:cs="Calibri"/>
          <w:i/>
          <w:sz w:val="20"/>
          <w:szCs w:val="20"/>
        </w:rPr>
        <w:t>Visitor perceptions of alternative transportation systems and intelligent transportation systems in national parks</w:t>
      </w:r>
      <w:r w:rsidRPr="003C69BD">
        <w:rPr>
          <w:rFonts w:ascii="Calibri" w:eastAsia="Georgia" w:hAnsi="Calibri" w:cs="Calibri"/>
          <w:sz w:val="20"/>
          <w:szCs w:val="20"/>
        </w:rPr>
        <w:t>. Doctoral dissertation, Texas A&amp;M University.</w:t>
      </w:r>
    </w:p>
    <w:p w14:paraId="4801FE7E" w14:textId="69B67804"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 xml:space="preserve">Dunning, A. (2005). Impacts of transit in national parks and gateway communities. </w:t>
      </w:r>
      <w:r w:rsidRPr="00C40CD0">
        <w:rPr>
          <w:rFonts w:ascii="Calibri" w:eastAsia="Georgia" w:hAnsi="Calibri" w:cs="Calibri"/>
          <w:sz w:val="20"/>
          <w:szCs w:val="20"/>
        </w:rPr>
        <w:t xml:space="preserve">Transportation Research Record: </w:t>
      </w:r>
      <w:r w:rsidRPr="000D4895">
        <w:rPr>
          <w:rFonts w:ascii="Calibri" w:eastAsia="Georgia" w:hAnsi="Calibri" w:cs="Calibri"/>
          <w:i/>
          <w:sz w:val="20"/>
          <w:szCs w:val="20"/>
        </w:rPr>
        <w:t>Journal of the Transportation Research Board</w:t>
      </w:r>
      <w:r w:rsidRPr="00C40CD0">
        <w:rPr>
          <w:rFonts w:ascii="Calibri" w:eastAsia="Georgia" w:hAnsi="Calibri" w:cs="Calibri"/>
          <w:sz w:val="20"/>
          <w:szCs w:val="20"/>
        </w:rPr>
        <w:t>,</w:t>
      </w:r>
      <w:r w:rsidRPr="003C69BD">
        <w:rPr>
          <w:rFonts w:ascii="Calibri" w:eastAsia="Georgia" w:hAnsi="Calibri" w:cs="Calibri"/>
          <w:sz w:val="20"/>
          <w:szCs w:val="20"/>
        </w:rPr>
        <w:t xml:space="preserve"> 1931</w:t>
      </w:r>
      <w:r w:rsidR="00F61BCC">
        <w:rPr>
          <w:rFonts w:ascii="Calibri" w:eastAsia="Georgia" w:hAnsi="Calibri" w:cs="Calibri"/>
          <w:sz w:val="20"/>
          <w:szCs w:val="20"/>
        </w:rPr>
        <w:t xml:space="preserve">: </w:t>
      </w:r>
      <w:r w:rsidRPr="003C69BD">
        <w:rPr>
          <w:rFonts w:ascii="Calibri" w:eastAsia="Georgia" w:hAnsi="Calibri" w:cs="Calibri"/>
          <w:sz w:val="20"/>
          <w:szCs w:val="20"/>
        </w:rPr>
        <w:t>129-136.</w:t>
      </w:r>
    </w:p>
    <w:p w14:paraId="0F8CF554" w14:textId="615F5A96"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 xml:space="preserve">Ghose, R. (2013). Big Sky or </w:t>
      </w:r>
      <w:r w:rsidR="00587479">
        <w:rPr>
          <w:rFonts w:ascii="Calibri" w:eastAsia="Georgia" w:hAnsi="Calibri" w:cs="Calibri"/>
          <w:sz w:val="20"/>
          <w:szCs w:val="20"/>
        </w:rPr>
        <w:t>b</w:t>
      </w:r>
      <w:r w:rsidRPr="003C69BD">
        <w:rPr>
          <w:rFonts w:ascii="Calibri" w:eastAsia="Georgia" w:hAnsi="Calibri" w:cs="Calibri"/>
          <w:sz w:val="20"/>
          <w:szCs w:val="20"/>
        </w:rPr>
        <w:t xml:space="preserve">ig </w:t>
      </w:r>
      <w:r w:rsidR="00587479">
        <w:rPr>
          <w:rFonts w:ascii="Calibri" w:eastAsia="Georgia" w:hAnsi="Calibri" w:cs="Calibri"/>
          <w:sz w:val="20"/>
          <w:szCs w:val="20"/>
        </w:rPr>
        <w:t>s</w:t>
      </w:r>
      <w:r w:rsidRPr="003C69BD">
        <w:rPr>
          <w:rFonts w:ascii="Calibri" w:eastAsia="Georgia" w:hAnsi="Calibri" w:cs="Calibri"/>
          <w:sz w:val="20"/>
          <w:szCs w:val="20"/>
        </w:rPr>
        <w:t>prawl? Rural gentrification and the changing cultural landscape of Missoula, Monta</w:t>
      </w:r>
      <w:r w:rsidR="00F61BCC">
        <w:rPr>
          <w:rFonts w:ascii="Calibri" w:eastAsia="Georgia" w:hAnsi="Calibri" w:cs="Calibri"/>
          <w:sz w:val="20"/>
          <w:szCs w:val="20"/>
        </w:rPr>
        <w:t>n</w:t>
      </w:r>
      <w:r w:rsidRPr="003C69BD">
        <w:rPr>
          <w:rFonts w:ascii="Calibri" w:eastAsia="Georgia" w:hAnsi="Calibri" w:cs="Calibri"/>
          <w:sz w:val="20"/>
          <w:szCs w:val="20"/>
        </w:rPr>
        <w:t>a</w:t>
      </w:r>
      <w:r w:rsidR="00C40CD0">
        <w:rPr>
          <w:rFonts w:ascii="Calibri" w:eastAsia="Georgia" w:hAnsi="Calibri" w:cs="Calibri"/>
          <w:sz w:val="20"/>
          <w:szCs w:val="20"/>
        </w:rPr>
        <w:t xml:space="preserve">. </w:t>
      </w:r>
      <w:r w:rsidRPr="000D4895">
        <w:rPr>
          <w:rFonts w:ascii="Calibri" w:eastAsia="Georgia" w:hAnsi="Calibri" w:cs="Calibri"/>
          <w:i/>
          <w:sz w:val="20"/>
          <w:szCs w:val="20"/>
        </w:rPr>
        <w:t>Urban Geography</w:t>
      </w:r>
      <w:r w:rsidR="00C40CD0">
        <w:rPr>
          <w:rFonts w:ascii="Calibri" w:eastAsia="Georgia" w:hAnsi="Calibri" w:cs="Calibri"/>
          <w:i/>
          <w:iCs/>
          <w:sz w:val="20"/>
          <w:szCs w:val="20"/>
        </w:rPr>
        <w:t xml:space="preserve">, </w:t>
      </w:r>
      <w:r w:rsidR="00C40CD0" w:rsidRPr="00C40CD0">
        <w:rPr>
          <w:rFonts w:ascii="Calibri" w:eastAsia="Georgia" w:hAnsi="Calibri" w:cs="Calibri"/>
          <w:sz w:val="20"/>
          <w:szCs w:val="20"/>
        </w:rPr>
        <w:t>25(6)</w:t>
      </w:r>
      <w:r w:rsidR="00C40CD0">
        <w:rPr>
          <w:rFonts w:ascii="Calibri" w:eastAsia="Georgia" w:hAnsi="Calibri" w:cs="Calibri"/>
          <w:sz w:val="20"/>
          <w:szCs w:val="20"/>
        </w:rPr>
        <w:t>:</w:t>
      </w:r>
      <w:r w:rsidRPr="003C69BD">
        <w:rPr>
          <w:rFonts w:ascii="Calibri" w:eastAsia="Georgia" w:hAnsi="Calibri" w:cs="Calibri"/>
          <w:sz w:val="20"/>
          <w:szCs w:val="20"/>
        </w:rPr>
        <w:t xml:space="preserve"> 628-649.</w:t>
      </w:r>
    </w:p>
    <w:p w14:paraId="2DAC4AEB" w14:textId="7C8F2335"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Gosnell, H</w:t>
      </w:r>
      <w:r w:rsidR="00C40CD0">
        <w:rPr>
          <w:rFonts w:ascii="Calibri" w:eastAsia="Georgia" w:hAnsi="Calibri" w:cs="Calibri"/>
          <w:sz w:val="20"/>
          <w:szCs w:val="20"/>
        </w:rPr>
        <w:t>.</w:t>
      </w:r>
      <w:r w:rsidRPr="003C69BD">
        <w:rPr>
          <w:rFonts w:ascii="Calibri" w:eastAsia="Georgia" w:hAnsi="Calibri" w:cs="Calibri"/>
          <w:sz w:val="20"/>
          <w:szCs w:val="20"/>
        </w:rPr>
        <w:t xml:space="preserve"> and J</w:t>
      </w:r>
      <w:r w:rsidR="00C40CD0">
        <w:rPr>
          <w:rFonts w:ascii="Calibri" w:eastAsia="Georgia" w:hAnsi="Calibri" w:cs="Calibri"/>
          <w:sz w:val="20"/>
          <w:szCs w:val="20"/>
        </w:rPr>
        <w:t>.</w:t>
      </w:r>
      <w:r w:rsidRPr="003C69BD">
        <w:rPr>
          <w:rFonts w:ascii="Calibri" w:eastAsia="Georgia" w:hAnsi="Calibri" w:cs="Calibri"/>
          <w:sz w:val="20"/>
          <w:szCs w:val="20"/>
        </w:rPr>
        <w:t xml:space="preserve"> Abrams. (2011). Amenity migration: diverse conceptualizations of drivers, socioeconomic dimensions, and emerging challenges. </w:t>
      </w:r>
      <w:proofErr w:type="spellStart"/>
      <w:r w:rsidRPr="000D4895">
        <w:rPr>
          <w:rFonts w:ascii="Calibri" w:eastAsia="Georgia" w:hAnsi="Calibri" w:cs="Calibri"/>
          <w:i/>
          <w:sz w:val="20"/>
          <w:szCs w:val="20"/>
        </w:rPr>
        <w:t>Geojournal</w:t>
      </w:r>
      <w:proofErr w:type="spellEnd"/>
      <w:r w:rsidR="00C40CD0" w:rsidRPr="00C40CD0">
        <w:rPr>
          <w:rFonts w:ascii="Calibri" w:eastAsia="Georgia" w:hAnsi="Calibri" w:cs="Calibri"/>
          <w:sz w:val="20"/>
          <w:szCs w:val="20"/>
        </w:rPr>
        <w:t>,</w:t>
      </w:r>
      <w:r w:rsidR="00C40CD0">
        <w:rPr>
          <w:rFonts w:ascii="Calibri" w:eastAsia="Georgia" w:hAnsi="Calibri" w:cs="Calibri"/>
          <w:sz w:val="20"/>
          <w:szCs w:val="20"/>
        </w:rPr>
        <w:t xml:space="preserve"> </w:t>
      </w:r>
      <w:r w:rsidR="00C40CD0" w:rsidRPr="00C40CD0">
        <w:rPr>
          <w:rFonts w:ascii="Calibri" w:eastAsia="Georgia" w:hAnsi="Calibri" w:cs="Calibri"/>
          <w:sz w:val="20"/>
          <w:szCs w:val="20"/>
        </w:rPr>
        <w:t>76(4):</w:t>
      </w:r>
      <w:r w:rsidRPr="003C69BD">
        <w:rPr>
          <w:rFonts w:ascii="Calibri" w:eastAsia="Georgia" w:hAnsi="Calibri" w:cs="Calibri"/>
          <w:sz w:val="20"/>
          <w:szCs w:val="20"/>
        </w:rPr>
        <w:t xml:space="preserve"> 303-322.</w:t>
      </w:r>
    </w:p>
    <w:p w14:paraId="45C2E413" w14:textId="77777777"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 xml:space="preserve">Mace, B. (2014). </w:t>
      </w:r>
      <w:r w:rsidRPr="000D4895">
        <w:rPr>
          <w:rFonts w:ascii="Calibri" w:eastAsia="Georgia" w:hAnsi="Calibri" w:cs="Calibri"/>
          <w:i/>
          <w:sz w:val="20"/>
          <w:szCs w:val="20"/>
        </w:rPr>
        <w:t>Restoring tranquility in Zion Canyon. Sustainable transportation in the national parks: From Acadia to Zion</w:t>
      </w:r>
      <w:r w:rsidRPr="003C69BD">
        <w:rPr>
          <w:rFonts w:ascii="Calibri" w:eastAsia="Georgia" w:hAnsi="Calibri" w:cs="Calibri"/>
          <w:sz w:val="20"/>
          <w:szCs w:val="20"/>
        </w:rPr>
        <w:t xml:space="preserve">. </w:t>
      </w:r>
      <w:proofErr w:type="spellStart"/>
      <w:r w:rsidRPr="003C69BD">
        <w:rPr>
          <w:rFonts w:ascii="Calibri" w:eastAsia="Georgia" w:hAnsi="Calibri" w:cs="Calibri"/>
          <w:sz w:val="20"/>
          <w:szCs w:val="20"/>
        </w:rPr>
        <w:t>Lebonon</w:t>
      </w:r>
      <w:proofErr w:type="spellEnd"/>
      <w:r w:rsidRPr="003C69BD">
        <w:rPr>
          <w:rFonts w:ascii="Calibri" w:eastAsia="Georgia" w:hAnsi="Calibri" w:cs="Calibri"/>
          <w:sz w:val="20"/>
          <w:szCs w:val="20"/>
        </w:rPr>
        <w:t>, NH: University Press of New England.</w:t>
      </w:r>
    </w:p>
    <w:p w14:paraId="60B48A69" w14:textId="5FCEDBF0"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 xml:space="preserve">Mace, B.L., </w:t>
      </w:r>
      <w:r w:rsidR="00C40CD0">
        <w:rPr>
          <w:rFonts w:ascii="Calibri" w:eastAsia="Georgia" w:hAnsi="Calibri" w:cs="Calibri"/>
          <w:sz w:val="20"/>
          <w:szCs w:val="20"/>
        </w:rPr>
        <w:t xml:space="preserve">J.D. </w:t>
      </w:r>
      <w:proofErr w:type="spellStart"/>
      <w:r w:rsidRPr="003C69BD">
        <w:rPr>
          <w:rFonts w:ascii="Calibri" w:eastAsia="Georgia" w:hAnsi="Calibri" w:cs="Calibri"/>
          <w:sz w:val="20"/>
          <w:szCs w:val="20"/>
        </w:rPr>
        <w:t>Marquit</w:t>
      </w:r>
      <w:proofErr w:type="spellEnd"/>
      <w:r w:rsidRPr="003C69BD">
        <w:rPr>
          <w:rFonts w:ascii="Calibri" w:eastAsia="Georgia" w:hAnsi="Calibri" w:cs="Calibri"/>
          <w:sz w:val="20"/>
          <w:szCs w:val="20"/>
        </w:rPr>
        <w:t xml:space="preserve"> </w:t>
      </w:r>
      <w:r w:rsidR="00C40CD0">
        <w:rPr>
          <w:rFonts w:ascii="Calibri" w:eastAsia="Georgia" w:hAnsi="Calibri" w:cs="Calibri"/>
          <w:sz w:val="20"/>
          <w:szCs w:val="20"/>
        </w:rPr>
        <w:t>and S.C.</w:t>
      </w:r>
      <w:r w:rsidR="00F52BE1">
        <w:rPr>
          <w:rFonts w:ascii="Calibri" w:eastAsia="Georgia" w:hAnsi="Calibri" w:cs="Calibri"/>
          <w:sz w:val="20"/>
          <w:szCs w:val="20"/>
        </w:rPr>
        <w:t xml:space="preserve"> </w:t>
      </w:r>
      <w:r w:rsidRPr="003C69BD">
        <w:rPr>
          <w:rFonts w:ascii="Calibri" w:eastAsia="Georgia" w:hAnsi="Calibri" w:cs="Calibri"/>
          <w:sz w:val="20"/>
          <w:szCs w:val="20"/>
        </w:rPr>
        <w:t>Bates</w:t>
      </w:r>
      <w:r w:rsidR="00182CE7">
        <w:rPr>
          <w:rFonts w:ascii="Calibri" w:eastAsia="Georgia" w:hAnsi="Calibri" w:cs="Calibri"/>
          <w:sz w:val="20"/>
          <w:szCs w:val="20"/>
        </w:rPr>
        <w:t>.</w:t>
      </w:r>
      <w:r w:rsidR="0033303D">
        <w:rPr>
          <w:rFonts w:ascii="Calibri" w:eastAsia="Georgia" w:hAnsi="Calibri" w:cs="Calibri"/>
          <w:sz w:val="20"/>
          <w:szCs w:val="20"/>
        </w:rPr>
        <w:t xml:space="preserve"> </w:t>
      </w:r>
      <w:r w:rsidRPr="003C69BD">
        <w:rPr>
          <w:rFonts w:ascii="Calibri" w:eastAsia="Georgia" w:hAnsi="Calibri" w:cs="Calibri"/>
          <w:sz w:val="20"/>
          <w:szCs w:val="20"/>
        </w:rPr>
        <w:t xml:space="preserve">(2013). Visitor assessment of the mandatory alternative transportation system at Zion National Park. </w:t>
      </w:r>
      <w:r w:rsidRPr="000D4895">
        <w:rPr>
          <w:rFonts w:ascii="Calibri" w:eastAsia="Georgia" w:hAnsi="Calibri" w:cs="Calibri"/>
          <w:i/>
          <w:sz w:val="20"/>
          <w:szCs w:val="20"/>
        </w:rPr>
        <w:t>Environmental Management</w:t>
      </w:r>
      <w:r w:rsidRPr="003C69BD">
        <w:rPr>
          <w:rFonts w:ascii="Calibri" w:eastAsia="Georgia" w:hAnsi="Calibri" w:cs="Calibri"/>
          <w:sz w:val="20"/>
          <w:szCs w:val="20"/>
        </w:rPr>
        <w:t>, 52(5), 1271-1285.</w:t>
      </w:r>
    </w:p>
    <w:p w14:paraId="1089E27C" w14:textId="3C0E814D" w:rsidR="00182CE7" w:rsidRPr="003C69BD" w:rsidRDefault="003C69BD" w:rsidP="00182CE7">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Nelson,</w:t>
      </w:r>
      <w:r w:rsidR="00F52BE1">
        <w:rPr>
          <w:rFonts w:ascii="Calibri" w:eastAsia="Georgia" w:hAnsi="Calibri" w:cs="Calibri"/>
          <w:sz w:val="20"/>
          <w:szCs w:val="20"/>
        </w:rPr>
        <w:t xml:space="preserve"> </w:t>
      </w:r>
      <w:r w:rsidRPr="003C69BD">
        <w:rPr>
          <w:rFonts w:ascii="Calibri" w:eastAsia="Georgia" w:hAnsi="Calibri" w:cs="Calibri"/>
          <w:sz w:val="20"/>
          <w:szCs w:val="20"/>
        </w:rPr>
        <w:t>P</w:t>
      </w:r>
      <w:r w:rsidR="00C40CD0">
        <w:rPr>
          <w:rFonts w:ascii="Calibri" w:eastAsia="Georgia" w:hAnsi="Calibri" w:cs="Calibri"/>
          <w:sz w:val="20"/>
          <w:szCs w:val="20"/>
        </w:rPr>
        <w:t>.</w:t>
      </w:r>
      <w:r w:rsidR="00F52BE1">
        <w:rPr>
          <w:rFonts w:ascii="Calibri" w:eastAsia="Georgia" w:hAnsi="Calibri" w:cs="Calibri"/>
          <w:sz w:val="20"/>
          <w:szCs w:val="20"/>
        </w:rPr>
        <w:t xml:space="preserve"> </w:t>
      </w:r>
      <w:r w:rsidRPr="003C69BD">
        <w:rPr>
          <w:rFonts w:ascii="Calibri" w:eastAsia="Georgia" w:hAnsi="Calibri" w:cs="Calibri"/>
          <w:sz w:val="20"/>
          <w:szCs w:val="20"/>
        </w:rPr>
        <w:t>and J</w:t>
      </w:r>
      <w:r w:rsidR="00C40CD0">
        <w:rPr>
          <w:rFonts w:ascii="Calibri" w:eastAsia="Georgia" w:hAnsi="Calibri" w:cs="Calibri"/>
          <w:sz w:val="20"/>
          <w:szCs w:val="20"/>
        </w:rPr>
        <w:t>. D.</w:t>
      </w:r>
      <w:r w:rsidRPr="003C69BD">
        <w:rPr>
          <w:rFonts w:ascii="Calibri" w:eastAsia="Georgia" w:hAnsi="Calibri" w:cs="Calibri"/>
          <w:sz w:val="20"/>
          <w:szCs w:val="20"/>
        </w:rPr>
        <w:t xml:space="preserve"> Hines. (2018). Rural Gentrification and network of capital accumulation</w:t>
      </w:r>
      <w:r w:rsidR="00F52BE1">
        <w:rPr>
          <w:rFonts w:ascii="Calibri" w:eastAsia="Georgia" w:hAnsi="Calibri" w:cs="Calibri"/>
          <w:sz w:val="20"/>
          <w:szCs w:val="20"/>
        </w:rPr>
        <w:t xml:space="preserve">: </w:t>
      </w:r>
      <w:r w:rsidRPr="003C69BD">
        <w:rPr>
          <w:rFonts w:ascii="Calibri" w:eastAsia="Georgia" w:hAnsi="Calibri" w:cs="Calibri"/>
          <w:sz w:val="20"/>
          <w:szCs w:val="20"/>
        </w:rPr>
        <w:t xml:space="preserve">A case study of Jackson, Wyoming. </w:t>
      </w:r>
      <w:r w:rsidRPr="000D4895">
        <w:rPr>
          <w:rFonts w:ascii="Calibri" w:hAnsi="Calibri" w:cs="Calibri"/>
          <w:i/>
        </w:rPr>
        <w:t>Economy and Space</w:t>
      </w:r>
      <w:r w:rsidR="00C40CD0">
        <w:rPr>
          <w:rFonts w:ascii="Calibri" w:eastAsia="Georgia" w:hAnsi="Calibri" w:cs="Calibri"/>
          <w:sz w:val="20"/>
          <w:szCs w:val="20"/>
        </w:rPr>
        <w:t>, 50(7):</w:t>
      </w:r>
      <w:r w:rsidRPr="003C69BD">
        <w:rPr>
          <w:rFonts w:ascii="Calibri" w:eastAsia="Georgia" w:hAnsi="Calibri" w:cs="Calibri"/>
          <w:sz w:val="20"/>
          <w:szCs w:val="20"/>
        </w:rPr>
        <w:t xml:space="preserve"> 1-23.</w:t>
      </w:r>
    </w:p>
    <w:p w14:paraId="20A9A04B" w14:textId="69ED29CC" w:rsidR="00C40CD0" w:rsidRPr="000D4895" w:rsidRDefault="00C40CD0" w:rsidP="000D4895">
      <w:pPr>
        <w:pStyle w:val="BodyText"/>
        <w:spacing w:before="120"/>
        <w:ind w:right="461"/>
        <w:textDirection w:val="btLr"/>
        <w:rPr>
          <w:rFonts w:ascii="Calibri" w:eastAsia="Georgia" w:hAnsi="Calibri" w:cs="Calibri"/>
          <w:sz w:val="20"/>
          <w:szCs w:val="20"/>
        </w:rPr>
      </w:pPr>
      <w:r w:rsidRPr="000D4895">
        <w:rPr>
          <w:rFonts w:ascii="Calibri" w:eastAsia="Georgia" w:hAnsi="Calibri" w:cs="Calibri"/>
          <w:sz w:val="20"/>
          <w:szCs w:val="20"/>
        </w:rPr>
        <w:t>Pilgeram, R. (2021)</w:t>
      </w:r>
      <w:r w:rsidR="00EC3BCC">
        <w:rPr>
          <w:rFonts w:ascii="Calibri" w:eastAsia="Georgia" w:hAnsi="Calibri" w:cs="Calibri"/>
          <w:sz w:val="20"/>
          <w:szCs w:val="20"/>
        </w:rPr>
        <w:t>.</w:t>
      </w:r>
      <w:r w:rsidRPr="000D4895">
        <w:rPr>
          <w:rFonts w:ascii="Calibri" w:eastAsia="Georgia" w:hAnsi="Calibri" w:cs="Calibri"/>
          <w:sz w:val="20"/>
          <w:szCs w:val="20"/>
        </w:rPr>
        <w:t xml:space="preserve"> </w:t>
      </w:r>
      <w:r w:rsidRPr="000D4895">
        <w:rPr>
          <w:rFonts w:ascii="Calibri" w:eastAsia="Georgia" w:hAnsi="Calibri" w:cs="Calibri"/>
          <w:i/>
          <w:sz w:val="20"/>
          <w:szCs w:val="20"/>
        </w:rPr>
        <w:t xml:space="preserve">Pushed </w:t>
      </w:r>
      <w:r w:rsidR="007F2357" w:rsidRPr="000D4895">
        <w:rPr>
          <w:rFonts w:ascii="Calibri" w:eastAsia="Georgia" w:hAnsi="Calibri" w:cs="Calibri"/>
          <w:i/>
          <w:sz w:val="20"/>
          <w:szCs w:val="20"/>
        </w:rPr>
        <w:t>o</w:t>
      </w:r>
      <w:r w:rsidRPr="000D4895">
        <w:rPr>
          <w:rFonts w:ascii="Calibri" w:eastAsia="Georgia" w:hAnsi="Calibri" w:cs="Calibri"/>
          <w:i/>
          <w:sz w:val="20"/>
          <w:szCs w:val="20"/>
        </w:rPr>
        <w:t xml:space="preserve">ut: </w:t>
      </w:r>
      <w:r w:rsidR="007F2357" w:rsidRPr="000D4895">
        <w:rPr>
          <w:rFonts w:ascii="Calibri" w:eastAsia="Georgia" w:hAnsi="Calibri" w:cs="Calibri"/>
          <w:i/>
          <w:sz w:val="20"/>
          <w:szCs w:val="20"/>
        </w:rPr>
        <w:t>c</w:t>
      </w:r>
      <w:r w:rsidRPr="000D4895">
        <w:rPr>
          <w:rFonts w:ascii="Calibri" w:eastAsia="Georgia" w:hAnsi="Calibri" w:cs="Calibri"/>
          <w:i/>
          <w:sz w:val="20"/>
          <w:szCs w:val="20"/>
        </w:rPr>
        <w:t xml:space="preserve">ontested </w:t>
      </w:r>
      <w:r w:rsidR="007F2357" w:rsidRPr="000D4895">
        <w:rPr>
          <w:rFonts w:ascii="Calibri" w:eastAsia="Georgia" w:hAnsi="Calibri" w:cs="Calibri"/>
          <w:i/>
          <w:sz w:val="20"/>
          <w:szCs w:val="20"/>
        </w:rPr>
        <w:t>d</w:t>
      </w:r>
      <w:r w:rsidRPr="000D4895">
        <w:rPr>
          <w:rFonts w:ascii="Calibri" w:eastAsia="Georgia" w:hAnsi="Calibri" w:cs="Calibri"/>
          <w:i/>
          <w:sz w:val="20"/>
          <w:szCs w:val="20"/>
        </w:rPr>
        <w:t xml:space="preserve">evelopment and </w:t>
      </w:r>
      <w:r w:rsidR="007F2357" w:rsidRPr="000D4895">
        <w:rPr>
          <w:rFonts w:ascii="Calibri" w:eastAsia="Georgia" w:hAnsi="Calibri" w:cs="Calibri"/>
          <w:i/>
          <w:sz w:val="20"/>
          <w:szCs w:val="20"/>
        </w:rPr>
        <w:t>r</w:t>
      </w:r>
      <w:r w:rsidRPr="000D4895">
        <w:rPr>
          <w:rFonts w:ascii="Calibri" w:eastAsia="Georgia" w:hAnsi="Calibri" w:cs="Calibri"/>
          <w:i/>
          <w:sz w:val="20"/>
          <w:szCs w:val="20"/>
        </w:rPr>
        <w:t xml:space="preserve">ural </w:t>
      </w:r>
      <w:r w:rsidR="007F2357" w:rsidRPr="000D4895">
        <w:rPr>
          <w:rFonts w:ascii="Calibri" w:eastAsia="Georgia" w:hAnsi="Calibri" w:cs="Calibri"/>
          <w:i/>
          <w:sz w:val="20"/>
          <w:szCs w:val="20"/>
        </w:rPr>
        <w:t>g</w:t>
      </w:r>
      <w:r w:rsidRPr="000D4895">
        <w:rPr>
          <w:rFonts w:ascii="Calibri" w:eastAsia="Georgia" w:hAnsi="Calibri" w:cs="Calibri"/>
          <w:i/>
          <w:sz w:val="20"/>
          <w:szCs w:val="20"/>
        </w:rPr>
        <w:t>entrification in the US West</w:t>
      </w:r>
      <w:r w:rsidR="00735E13" w:rsidRPr="000D4895">
        <w:rPr>
          <w:rFonts w:ascii="Calibri" w:eastAsia="Georgia" w:hAnsi="Calibri" w:cs="Calibri"/>
          <w:sz w:val="20"/>
          <w:szCs w:val="20"/>
        </w:rPr>
        <w:t xml:space="preserve">. Seattle, WA: </w:t>
      </w:r>
      <w:r w:rsidRPr="000D4895">
        <w:rPr>
          <w:rFonts w:ascii="Calibri" w:eastAsia="Georgia" w:hAnsi="Calibri" w:cs="Calibri"/>
          <w:sz w:val="20"/>
          <w:szCs w:val="20"/>
        </w:rPr>
        <w:t>University of Washington Press</w:t>
      </w:r>
      <w:r w:rsidR="00735E13" w:rsidRPr="000D4895">
        <w:rPr>
          <w:rFonts w:ascii="Calibri" w:eastAsia="Georgia" w:hAnsi="Calibri" w:cs="Calibri"/>
          <w:sz w:val="20"/>
          <w:szCs w:val="20"/>
        </w:rPr>
        <w:t>.</w:t>
      </w:r>
    </w:p>
    <w:p w14:paraId="6448E2B2" w14:textId="76ED3382" w:rsidR="003C69BD" w:rsidRPr="003C69BD" w:rsidRDefault="003C69BD" w:rsidP="00182CE7">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Rumore, D</w:t>
      </w:r>
      <w:r w:rsidR="00C40CD0">
        <w:rPr>
          <w:rFonts w:ascii="Calibri" w:eastAsia="Georgia" w:hAnsi="Calibri" w:cs="Calibri"/>
          <w:sz w:val="20"/>
          <w:szCs w:val="20"/>
        </w:rPr>
        <w:t>., P.</w:t>
      </w:r>
      <w:r w:rsidRPr="003C69BD">
        <w:rPr>
          <w:rFonts w:ascii="Calibri" w:eastAsia="Georgia" w:hAnsi="Calibri" w:cs="Calibri"/>
          <w:sz w:val="20"/>
          <w:szCs w:val="20"/>
        </w:rPr>
        <w:t xml:space="preserve"> Stoker, Z</w:t>
      </w:r>
      <w:r w:rsidR="00C40CD0">
        <w:rPr>
          <w:rFonts w:ascii="Calibri" w:eastAsia="Georgia" w:hAnsi="Calibri" w:cs="Calibri"/>
          <w:sz w:val="20"/>
          <w:szCs w:val="20"/>
        </w:rPr>
        <w:t>.</w:t>
      </w:r>
      <w:r w:rsidRPr="003C69BD">
        <w:rPr>
          <w:rFonts w:ascii="Calibri" w:eastAsia="Georgia" w:hAnsi="Calibri" w:cs="Calibri"/>
          <w:sz w:val="20"/>
          <w:szCs w:val="20"/>
        </w:rPr>
        <w:t xml:space="preserve"> Levine, and L</w:t>
      </w:r>
      <w:r w:rsidR="00C40CD0">
        <w:rPr>
          <w:rFonts w:ascii="Calibri" w:eastAsia="Georgia" w:hAnsi="Calibri" w:cs="Calibri"/>
          <w:sz w:val="20"/>
          <w:szCs w:val="20"/>
        </w:rPr>
        <w:t>.</w:t>
      </w:r>
      <w:r w:rsidRPr="003C69BD">
        <w:rPr>
          <w:rFonts w:ascii="Calibri" w:eastAsia="Georgia" w:hAnsi="Calibri" w:cs="Calibri"/>
          <w:sz w:val="20"/>
          <w:szCs w:val="20"/>
        </w:rPr>
        <w:t xml:space="preserve"> </w:t>
      </w:r>
      <w:proofErr w:type="spellStart"/>
      <w:r w:rsidRPr="003C69BD">
        <w:rPr>
          <w:rFonts w:ascii="Calibri" w:eastAsia="Georgia" w:hAnsi="Calibri" w:cs="Calibri"/>
          <w:sz w:val="20"/>
          <w:szCs w:val="20"/>
        </w:rPr>
        <w:t>Romaniello</w:t>
      </w:r>
      <w:proofErr w:type="spellEnd"/>
      <w:r w:rsidRPr="003C69BD">
        <w:rPr>
          <w:rFonts w:ascii="Calibri" w:eastAsia="Georgia" w:hAnsi="Calibri" w:cs="Calibri"/>
          <w:sz w:val="20"/>
          <w:szCs w:val="20"/>
        </w:rPr>
        <w:t xml:space="preserve">. (2019). </w:t>
      </w:r>
      <w:r w:rsidRPr="000D4895">
        <w:rPr>
          <w:rFonts w:ascii="Calibri" w:eastAsia="Georgia" w:hAnsi="Calibri" w:cs="Calibri"/>
          <w:i/>
          <w:sz w:val="20"/>
          <w:szCs w:val="20"/>
        </w:rPr>
        <w:t xml:space="preserve">Planning in </w:t>
      </w:r>
      <w:r w:rsidR="00F52BE1" w:rsidRPr="000D4895">
        <w:rPr>
          <w:rFonts w:ascii="Calibri" w:eastAsia="Georgia" w:hAnsi="Calibri" w:cs="Calibri"/>
          <w:i/>
          <w:sz w:val="20"/>
          <w:szCs w:val="20"/>
        </w:rPr>
        <w:t>g</w:t>
      </w:r>
      <w:r w:rsidRPr="000D4895">
        <w:rPr>
          <w:rFonts w:ascii="Calibri" w:eastAsia="Georgia" w:hAnsi="Calibri" w:cs="Calibri"/>
          <w:i/>
          <w:sz w:val="20"/>
          <w:szCs w:val="20"/>
        </w:rPr>
        <w:t xml:space="preserve">ateway and </w:t>
      </w:r>
      <w:r w:rsidR="00F52BE1" w:rsidRPr="000D4895">
        <w:rPr>
          <w:rFonts w:ascii="Calibri" w:eastAsia="Georgia" w:hAnsi="Calibri" w:cs="Calibri"/>
          <w:i/>
          <w:sz w:val="20"/>
          <w:szCs w:val="20"/>
        </w:rPr>
        <w:t>n</w:t>
      </w:r>
      <w:r w:rsidRPr="000D4895">
        <w:rPr>
          <w:rFonts w:ascii="Calibri" w:eastAsia="Georgia" w:hAnsi="Calibri" w:cs="Calibri"/>
          <w:i/>
          <w:sz w:val="20"/>
          <w:szCs w:val="20"/>
        </w:rPr>
        <w:t xml:space="preserve">atural </w:t>
      </w:r>
      <w:r w:rsidR="00F52BE1" w:rsidRPr="000D4895">
        <w:rPr>
          <w:rFonts w:ascii="Calibri" w:eastAsia="Georgia" w:hAnsi="Calibri" w:cs="Calibri"/>
          <w:i/>
          <w:sz w:val="20"/>
          <w:szCs w:val="20"/>
        </w:rPr>
        <w:t>a</w:t>
      </w:r>
      <w:r w:rsidRPr="000D4895">
        <w:rPr>
          <w:rFonts w:ascii="Calibri" w:eastAsia="Georgia" w:hAnsi="Calibri" w:cs="Calibri"/>
          <w:i/>
          <w:sz w:val="20"/>
          <w:szCs w:val="20"/>
        </w:rPr>
        <w:t xml:space="preserve">menity </w:t>
      </w:r>
      <w:r w:rsidR="00F52BE1" w:rsidRPr="000D4895">
        <w:rPr>
          <w:rFonts w:ascii="Calibri" w:eastAsia="Georgia" w:hAnsi="Calibri" w:cs="Calibri"/>
          <w:i/>
          <w:sz w:val="20"/>
          <w:szCs w:val="20"/>
        </w:rPr>
        <w:t>r</w:t>
      </w:r>
      <w:r w:rsidRPr="000D4895">
        <w:rPr>
          <w:rFonts w:ascii="Calibri" w:eastAsia="Georgia" w:hAnsi="Calibri" w:cs="Calibri"/>
          <w:i/>
          <w:sz w:val="20"/>
          <w:szCs w:val="20"/>
        </w:rPr>
        <w:t xml:space="preserve">egion </w:t>
      </w:r>
      <w:r w:rsidR="00F52BE1" w:rsidRPr="000D4895">
        <w:rPr>
          <w:rFonts w:ascii="Calibri" w:eastAsia="Georgia" w:hAnsi="Calibri" w:cs="Calibri"/>
          <w:i/>
          <w:sz w:val="20"/>
          <w:szCs w:val="20"/>
        </w:rPr>
        <w:t>c</w:t>
      </w:r>
      <w:r w:rsidRPr="000D4895">
        <w:rPr>
          <w:rFonts w:ascii="Calibri" w:eastAsia="Georgia" w:hAnsi="Calibri" w:cs="Calibri"/>
          <w:i/>
          <w:sz w:val="20"/>
          <w:szCs w:val="20"/>
        </w:rPr>
        <w:t xml:space="preserve">ommunities: </w:t>
      </w:r>
      <w:r w:rsidR="00F52BE1" w:rsidRPr="000D4895">
        <w:rPr>
          <w:rFonts w:ascii="Calibri" w:eastAsia="Georgia" w:hAnsi="Calibri" w:cs="Calibri"/>
          <w:i/>
          <w:sz w:val="20"/>
          <w:szCs w:val="20"/>
        </w:rPr>
        <w:t>u</w:t>
      </w:r>
      <w:r w:rsidRPr="000D4895">
        <w:rPr>
          <w:rFonts w:ascii="Calibri" w:eastAsia="Georgia" w:hAnsi="Calibri" w:cs="Calibri"/>
          <w:i/>
          <w:sz w:val="20"/>
          <w:szCs w:val="20"/>
        </w:rPr>
        <w:t xml:space="preserve">nderstanding the </w:t>
      </w:r>
      <w:r w:rsidR="00F52BE1" w:rsidRPr="000D4895">
        <w:rPr>
          <w:rFonts w:ascii="Calibri" w:eastAsia="Georgia" w:hAnsi="Calibri" w:cs="Calibri"/>
          <w:i/>
          <w:sz w:val="20"/>
          <w:szCs w:val="20"/>
        </w:rPr>
        <w:t>u</w:t>
      </w:r>
      <w:r w:rsidRPr="000D4895">
        <w:rPr>
          <w:rFonts w:ascii="Calibri" w:eastAsia="Georgia" w:hAnsi="Calibri" w:cs="Calibri"/>
          <w:i/>
          <w:sz w:val="20"/>
          <w:szCs w:val="20"/>
        </w:rPr>
        <w:t xml:space="preserve">nique </w:t>
      </w:r>
      <w:r w:rsidR="00F52BE1" w:rsidRPr="000D4895">
        <w:rPr>
          <w:rFonts w:ascii="Calibri" w:eastAsia="Georgia" w:hAnsi="Calibri" w:cs="Calibri"/>
          <w:i/>
          <w:sz w:val="20"/>
          <w:szCs w:val="20"/>
        </w:rPr>
        <w:t>c</w:t>
      </w:r>
      <w:r w:rsidRPr="000D4895">
        <w:rPr>
          <w:rFonts w:ascii="Calibri" w:eastAsia="Georgia" w:hAnsi="Calibri" w:cs="Calibri"/>
          <w:i/>
          <w:sz w:val="20"/>
          <w:szCs w:val="20"/>
        </w:rPr>
        <w:t xml:space="preserve">hallenges </w:t>
      </w:r>
      <w:r w:rsidR="00F52BE1" w:rsidRPr="000D4895">
        <w:rPr>
          <w:rFonts w:ascii="Calibri" w:eastAsia="Georgia" w:hAnsi="Calibri" w:cs="Calibri"/>
          <w:i/>
          <w:sz w:val="20"/>
          <w:szCs w:val="20"/>
        </w:rPr>
        <w:t>a</w:t>
      </w:r>
      <w:r w:rsidRPr="000D4895">
        <w:rPr>
          <w:rFonts w:ascii="Calibri" w:eastAsia="Georgia" w:hAnsi="Calibri" w:cs="Calibri"/>
          <w:i/>
          <w:sz w:val="20"/>
          <w:szCs w:val="20"/>
        </w:rPr>
        <w:t xml:space="preserve">ssociated with </w:t>
      </w:r>
      <w:r w:rsidR="00F52BE1" w:rsidRPr="000D4895">
        <w:rPr>
          <w:rFonts w:ascii="Calibri" w:eastAsia="Georgia" w:hAnsi="Calibri" w:cs="Calibri"/>
          <w:i/>
          <w:sz w:val="20"/>
          <w:szCs w:val="20"/>
        </w:rPr>
        <w:t>t</w:t>
      </w:r>
      <w:r w:rsidRPr="000D4895">
        <w:rPr>
          <w:rFonts w:ascii="Calibri" w:eastAsia="Georgia" w:hAnsi="Calibri" w:cs="Calibri"/>
          <w:i/>
          <w:sz w:val="20"/>
          <w:szCs w:val="20"/>
        </w:rPr>
        <w:t xml:space="preserve">ransportation, </w:t>
      </w:r>
      <w:r w:rsidR="00F52BE1" w:rsidRPr="000D4895">
        <w:rPr>
          <w:rFonts w:ascii="Calibri" w:eastAsia="Georgia" w:hAnsi="Calibri" w:cs="Calibri"/>
          <w:i/>
          <w:sz w:val="20"/>
          <w:szCs w:val="20"/>
        </w:rPr>
        <w:t>m</w:t>
      </w:r>
      <w:r w:rsidRPr="000D4895">
        <w:rPr>
          <w:rFonts w:ascii="Calibri" w:eastAsia="Georgia" w:hAnsi="Calibri" w:cs="Calibri"/>
          <w:i/>
          <w:sz w:val="20"/>
          <w:szCs w:val="20"/>
        </w:rPr>
        <w:t xml:space="preserve">obility, and </w:t>
      </w:r>
      <w:r w:rsidR="00F52BE1" w:rsidRPr="000D4895">
        <w:rPr>
          <w:rFonts w:ascii="Calibri" w:eastAsia="Georgia" w:hAnsi="Calibri" w:cs="Calibri"/>
          <w:i/>
          <w:sz w:val="20"/>
          <w:szCs w:val="20"/>
        </w:rPr>
        <w:t>l</w:t>
      </w:r>
      <w:r w:rsidRPr="000D4895">
        <w:rPr>
          <w:rFonts w:ascii="Calibri" w:eastAsia="Georgia" w:hAnsi="Calibri" w:cs="Calibri"/>
          <w:i/>
          <w:sz w:val="20"/>
          <w:szCs w:val="20"/>
        </w:rPr>
        <w:t>ivability</w:t>
      </w:r>
      <w:r w:rsidRPr="003C69BD">
        <w:rPr>
          <w:rFonts w:ascii="Calibri" w:eastAsia="Georgia" w:hAnsi="Calibri" w:cs="Calibri"/>
          <w:sz w:val="20"/>
          <w:szCs w:val="20"/>
        </w:rPr>
        <w:t>. NITC-RR-1118. Portland, OR: Transportation Research and Education Center (TREC).</w:t>
      </w:r>
    </w:p>
    <w:p w14:paraId="4E1DED1F" w14:textId="2F7CFB97" w:rsidR="00C40CD0" w:rsidRPr="00C40CD0" w:rsidRDefault="003C69BD" w:rsidP="00C40CD0">
      <w:pPr>
        <w:pStyle w:val="BodyText"/>
        <w:spacing w:before="120"/>
        <w:ind w:right="461"/>
        <w:textDirection w:val="btLr"/>
        <w:rPr>
          <w:rFonts w:ascii="Calibri" w:eastAsia="Georgia" w:hAnsi="Calibri" w:cs="Calibri"/>
          <w:sz w:val="20"/>
          <w:szCs w:val="20"/>
        </w:rPr>
      </w:pPr>
      <w:proofErr w:type="spellStart"/>
      <w:r w:rsidRPr="003C69BD">
        <w:rPr>
          <w:rFonts w:ascii="Calibri" w:eastAsia="Georgia" w:hAnsi="Calibri" w:cs="Calibri"/>
          <w:sz w:val="20"/>
          <w:szCs w:val="20"/>
        </w:rPr>
        <w:t>Stephanick</w:t>
      </w:r>
      <w:proofErr w:type="spellEnd"/>
      <w:r w:rsidRPr="003C69BD">
        <w:rPr>
          <w:rFonts w:ascii="Calibri" w:eastAsia="Georgia" w:hAnsi="Calibri" w:cs="Calibri"/>
          <w:sz w:val="20"/>
          <w:szCs w:val="20"/>
        </w:rPr>
        <w:t xml:space="preserve">, L. (2008). </w:t>
      </w:r>
      <w:r w:rsidRPr="000D4895">
        <w:rPr>
          <w:rFonts w:ascii="Calibri" w:eastAsia="Georgia" w:hAnsi="Calibri" w:cs="Calibri"/>
          <w:i/>
          <w:sz w:val="20"/>
          <w:szCs w:val="20"/>
        </w:rPr>
        <w:t xml:space="preserve">The </w:t>
      </w:r>
      <w:r w:rsidR="007F2357" w:rsidRPr="000D4895">
        <w:rPr>
          <w:rFonts w:ascii="Calibri" w:eastAsia="Georgia" w:hAnsi="Calibri" w:cs="Calibri"/>
          <w:i/>
          <w:sz w:val="20"/>
          <w:szCs w:val="20"/>
        </w:rPr>
        <w:t>s</w:t>
      </w:r>
      <w:r w:rsidRPr="000D4895">
        <w:rPr>
          <w:rFonts w:ascii="Calibri" w:eastAsia="Georgia" w:hAnsi="Calibri" w:cs="Calibri"/>
          <w:i/>
          <w:sz w:val="20"/>
          <w:szCs w:val="20"/>
        </w:rPr>
        <w:t xml:space="preserve">earch for </w:t>
      </w:r>
      <w:r w:rsidR="007F2357" w:rsidRPr="000D4895">
        <w:rPr>
          <w:rFonts w:ascii="Calibri" w:eastAsia="Georgia" w:hAnsi="Calibri" w:cs="Calibri"/>
          <w:i/>
          <w:sz w:val="20"/>
          <w:szCs w:val="20"/>
        </w:rPr>
        <w:t>p</w:t>
      </w:r>
      <w:r w:rsidRPr="000D4895">
        <w:rPr>
          <w:rFonts w:ascii="Calibri" w:eastAsia="Georgia" w:hAnsi="Calibri" w:cs="Calibri"/>
          <w:i/>
          <w:sz w:val="20"/>
          <w:szCs w:val="20"/>
        </w:rPr>
        <w:t xml:space="preserve">aradise: </w:t>
      </w:r>
      <w:r w:rsidR="007F2357" w:rsidRPr="000D4895">
        <w:rPr>
          <w:rFonts w:ascii="Calibri" w:eastAsia="Georgia" w:hAnsi="Calibri" w:cs="Calibri"/>
          <w:i/>
          <w:sz w:val="20"/>
          <w:szCs w:val="20"/>
        </w:rPr>
        <w:t>a</w:t>
      </w:r>
      <w:r w:rsidR="00B277D3" w:rsidRPr="000D4895">
        <w:rPr>
          <w:rFonts w:ascii="Calibri" w:eastAsia="Georgia" w:hAnsi="Calibri" w:cs="Calibri"/>
          <w:i/>
          <w:sz w:val="20"/>
          <w:szCs w:val="20"/>
        </w:rPr>
        <w:t>menity</w:t>
      </w:r>
      <w:r w:rsidRPr="000D4895">
        <w:rPr>
          <w:rFonts w:ascii="Calibri" w:eastAsia="Georgia" w:hAnsi="Calibri" w:cs="Calibri"/>
          <w:i/>
          <w:sz w:val="20"/>
          <w:szCs w:val="20"/>
        </w:rPr>
        <w:t xml:space="preserve"> migration and growing pains of western Canadian mountain towns</w:t>
      </w:r>
      <w:r w:rsidRPr="00C40CD0">
        <w:rPr>
          <w:rFonts w:ascii="Calibri" w:eastAsia="Georgia" w:hAnsi="Calibri" w:cs="Calibri"/>
          <w:i/>
          <w:iCs/>
          <w:sz w:val="20"/>
          <w:szCs w:val="20"/>
        </w:rPr>
        <w:t xml:space="preserve">. </w:t>
      </w:r>
      <w:r w:rsidRPr="00C40CD0">
        <w:rPr>
          <w:rFonts w:ascii="Calibri" w:eastAsia="Georgia" w:hAnsi="Calibri" w:cs="Calibri"/>
          <w:sz w:val="20"/>
          <w:szCs w:val="20"/>
        </w:rPr>
        <w:t>Vancouver, British Columbia: Canadian Political Science Association.</w:t>
      </w:r>
    </w:p>
    <w:p w14:paraId="1EF1ED33" w14:textId="5E41C23C" w:rsidR="00C40CD0" w:rsidRPr="000D4895" w:rsidRDefault="00C40CD0" w:rsidP="00C40CD0">
      <w:pPr>
        <w:pStyle w:val="BodyText"/>
        <w:spacing w:before="120"/>
        <w:ind w:right="461"/>
        <w:textDirection w:val="btLr"/>
        <w:rPr>
          <w:rFonts w:ascii="Calibri" w:eastAsia="Georgia" w:hAnsi="Calibri" w:cs="Calibri"/>
          <w:sz w:val="20"/>
          <w:szCs w:val="20"/>
        </w:rPr>
      </w:pPr>
      <w:r w:rsidRPr="00C40CD0">
        <w:rPr>
          <w:rFonts w:ascii="Calibri" w:eastAsia="Cambria" w:hAnsi="Calibri"/>
          <w:sz w:val="20"/>
          <w:szCs w:val="20"/>
        </w:rPr>
        <w:t xml:space="preserve">Stoker, P., D. Rumore, L. </w:t>
      </w:r>
      <w:proofErr w:type="spellStart"/>
      <w:r w:rsidRPr="00C40CD0">
        <w:rPr>
          <w:rFonts w:ascii="Calibri" w:eastAsia="Cambria" w:hAnsi="Calibri"/>
          <w:sz w:val="20"/>
          <w:szCs w:val="20"/>
        </w:rPr>
        <w:t>Romaniello</w:t>
      </w:r>
      <w:proofErr w:type="spellEnd"/>
      <w:r w:rsidRPr="00C40CD0">
        <w:rPr>
          <w:rFonts w:ascii="Calibri" w:eastAsia="Cambria" w:hAnsi="Calibri"/>
          <w:sz w:val="20"/>
          <w:szCs w:val="20"/>
        </w:rPr>
        <w:t>, and Z. Levine</w:t>
      </w:r>
      <w:r w:rsidR="00182CE7">
        <w:rPr>
          <w:rFonts w:ascii="Calibri" w:eastAsia="Cambria" w:hAnsi="Calibri"/>
          <w:sz w:val="20"/>
          <w:szCs w:val="20"/>
        </w:rPr>
        <w:t>.</w:t>
      </w:r>
      <w:r w:rsidRPr="00C40CD0">
        <w:rPr>
          <w:rFonts w:ascii="Calibri" w:eastAsia="Cambria" w:hAnsi="Calibri"/>
          <w:sz w:val="20"/>
          <w:szCs w:val="20"/>
        </w:rPr>
        <w:t xml:space="preserve"> (2021) Planning and </w:t>
      </w:r>
      <w:r w:rsidR="00F52BE1">
        <w:rPr>
          <w:rFonts w:ascii="Calibri" w:eastAsia="Cambria" w:hAnsi="Calibri"/>
          <w:sz w:val="20"/>
          <w:szCs w:val="20"/>
        </w:rPr>
        <w:t>d</w:t>
      </w:r>
      <w:r w:rsidRPr="00C40CD0">
        <w:rPr>
          <w:rFonts w:ascii="Calibri" w:eastAsia="Cambria" w:hAnsi="Calibri"/>
          <w:sz w:val="20"/>
          <w:szCs w:val="20"/>
        </w:rPr>
        <w:t xml:space="preserve">evelopment </w:t>
      </w:r>
      <w:r w:rsidR="00F52BE1">
        <w:rPr>
          <w:rFonts w:ascii="Calibri" w:eastAsia="Cambria" w:hAnsi="Calibri"/>
          <w:sz w:val="20"/>
          <w:szCs w:val="20"/>
        </w:rPr>
        <w:t>c</w:t>
      </w:r>
      <w:r w:rsidRPr="00C40CD0">
        <w:rPr>
          <w:rFonts w:ascii="Calibri" w:eastAsia="Cambria" w:hAnsi="Calibri"/>
          <w:sz w:val="20"/>
          <w:szCs w:val="20"/>
        </w:rPr>
        <w:t xml:space="preserve">hallenges in </w:t>
      </w:r>
      <w:r w:rsidR="00F52BE1">
        <w:rPr>
          <w:rFonts w:ascii="Calibri" w:eastAsia="Cambria" w:hAnsi="Calibri"/>
          <w:sz w:val="20"/>
          <w:szCs w:val="20"/>
        </w:rPr>
        <w:t>w</w:t>
      </w:r>
      <w:r w:rsidRPr="00C40CD0">
        <w:rPr>
          <w:rFonts w:ascii="Calibri" w:eastAsia="Cambria" w:hAnsi="Calibri"/>
          <w:sz w:val="20"/>
          <w:szCs w:val="20"/>
        </w:rPr>
        <w:t xml:space="preserve">estern </w:t>
      </w:r>
      <w:r w:rsidR="00F52BE1" w:rsidRPr="000D4895">
        <w:rPr>
          <w:rFonts w:ascii="Calibri" w:eastAsia="Georgia" w:hAnsi="Calibri" w:cs="Calibri"/>
          <w:sz w:val="20"/>
          <w:szCs w:val="20"/>
        </w:rPr>
        <w:t>g</w:t>
      </w:r>
      <w:r w:rsidRPr="000D4895">
        <w:rPr>
          <w:rFonts w:ascii="Calibri" w:eastAsia="Georgia" w:hAnsi="Calibri" w:cs="Calibri"/>
          <w:sz w:val="20"/>
          <w:szCs w:val="20"/>
        </w:rPr>
        <w:t xml:space="preserve">ateway </w:t>
      </w:r>
      <w:r w:rsidR="00F52BE1" w:rsidRPr="000D4895">
        <w:rPr>
          <w:rFonts w:ascii="Calibri" w:eastAsia="Georgia" w:hAnsi="Calibri" w:cs="Calibri"/>
          <w:sz w:val="20"/>
          <w:szCs w:val="20"/>
        </w:rPr>
        <w:t>c</w:t>
      </w:r>
      <w:r w:rsidRPr="000D4895">
        <w:rPr>
          <w:rFonts w:ascii="Calibri" w:eastAsia="Georgia" w:hAnsi="Calibri" w:cs="Calibri"/>
          <w:sz w:val="20"/>
          <w:szCs w:val="20"/>
        </w:rPr>
        <w:t>ommunities</w:t>
      </w:r>
      <w:r w:rsidR="00F52BE1" w:rsidRPr="000D4895">
        <w:rPr>
          <w:rFonts w:ascii="Calibri" w:eastAsia="Georgia" w:hAnsi="Calibri" w:cs="Calibri"/>
          <w:sz w:val="20"/>
          <w:szCs w:val="20"/>
        </w:rPr>
        <w:t>.</w:t>
      </w:r>
      <w:r w:rsidRPr="000D4895">
        <w:rPr>
          <w:rFonts w:ascii="Calibri" w:eastAsia="Georgia" w:hAnsi="Calibri" w:cs="Calibri"/>
          <w:sz w:val="20"/>
          <w:szCs w:val="20"/>
        </w:rPr>
        <w:t xml:space="preserve"> </w:t>
      </w:r>
      <w:r w:rsidRPr="000D4895">
        <w:rPr>
          <w:rFonts w:ascii="Calibri" w:eastAsia="Georgia" w:hAnsi="Calibri" w:cs="Calibri"/>
          <w:i/>
          <w:sz w:val="20"/>
          <w:szCs w:val="20"/>
        </w:rPr>
        <w:t>Journal of the American Planning Association</w:t>
      </w:r>
      <w:r w:rsidRPr="000D4895">
        <w:rPr>
          <w:rFonts w:ascii="Calibri" w:eastAsia="Georgia" w:hAnsi="Calibri" w:cs="Calibri"/>
          <w:sz w:val="20"/>
          <w:szCs w:val="20"/>
        </w:rPr>
        <w:t>, 87(1): 21-33</w:t>
      </w:r>
    </w:p>
    <w:p w14:paraId="403C55B2" w14:textId="4A6959A4" w:rsidR="003A2769" w:rsidRPr="000D4895" w:rsidRDefault="00735E13" w:rsidP="000D4895">
      <w:pPr>
        <w:pStyle w:val="BodyText"/>
        <w:spacing w:before="120"/>
        <w:ind w:right="461"/>
        <w:textDirection w:val="btLr"/>
        <w:rPr>
          <w:rFonts w:ascii="Calibri" w:eastAsia="Georgia" w:hAnsi="Calibri" w:cs="Calibri"/>
          <w:sz w:val="20"/>
          <w:szCs w:val="20"/>
        </w:rPr>
      </w:pPr>
      <w:r w:rsidRPr="000D4895">
        <w:rPr>
          <w:rFonts w:ascii="Calibri" w:eastAsia="Georgia" w:hAnsi="Calibri" w:cs="Calibri"/>
          <w:sz w:val="20"/>
          <w:szCs w:val="20"/>
        </w:rPr>
        <w:t>Stuber, J. (2021)</w:t>
      </w:r>
      <w:r w:rsidR="00EC3BCC">
        <w:rPr>
          <w:rFonts w:ascii="Calibri" w:eastAsia="Georgia" w:hAnsi="Calibri" w:cs="Calibri"/>
          <w:sz w:val="20"/>
          <w:szCs w:val="20"/>
        </w:rPr>
        <w:t>.</w:t>
      </w:r>
      <w:r w:rsidRPr="000D4895">
        <w:rPr>
          <w:rFonts w:ascii="Calibri" w:eastAsia="Georgia" w:hAnsi="Calibri" w:cs="Calibri"/>
          <w:sz w:val="20"/>
          <w:szCs w:val="20"/>
        </w:rPr>
        <w:t xml:space="preserve"> </w:t>
      </w:r>
      <w:r w:rsidRPr="000D4895">
        <w:rPr>
          <w:rFonts w:ascii="Calibri" w:eastAsia="Georgia" w:hAnsi="Calibri" w:cs="Calibri"/>
          <w:i/>
          <w:sz w:val="20"/>
          <w:szCs w:val="20"/>
        </w:rPr>
        <w:t xml:space="preserve">Aspen and the </w:t>
      </w:r>
      <w:r w:rsidR="00F52BE1" w:rsidRPr="000D4895">
        <w:rPr>
          <w:rFonts w:ascii="Calibri" w:eastAsia="Georgia" w:hAnsi="Calibri" w:cs="Calibri"/>
          <w:i/>
          <w:sz w:val="20"/>
          <w:szCs w:val="20"/>
        </w:rPr>
        <w:t>A</w:t>
      </w:r>
      <w:r w:rsidRPr="000D4895">
        <w:rPr>
          <w:rFonts w:ascii="Calibri" w:eastAsia="Georgia" w:hAnsi="Calibri" w:cs="Calibri"/>
          <w:i/>
          <w:sz w:val="20"/>
          <w:szCs w:val="20"/>
        </w:rPr>
        <w:t xml:space="preserve">merican </w:t>
      </w:r>
      <w:r w:rsidR="00F52BE1" w:rsidRPr="000D4895">
        <w:rPr>
          <w:rFonts w:ascii="Calibri" w:eastAsia="Georgia" w:hAnsi="Calibri" w:cs="Calibri"/>
          <w:i/>
          <w:sz w:val="20"/>
          <w:szCs w:val="20"/>
        </w:rPr>
        <w:t>d</w:t>
      </w:r>
      <w:r w:rsidRPr="000D4895">
        <w:rPr>
          <w:rFonts w:ascii="Calibri" w:eastAsia="Georgia" w:hAnsi="Calibri" w:cs="Calibri"/>
          <w:i/>
          <w:sz w:val="20"/>
          <w:szCs w:val="20"/>
        </w:rPr>
        <w:t>ream</w:t>
      </w:r>
      <w:r w:rsidR="00F52BE1" w:rsidRPr="000D4895">
        <w:rPr>
          <w:rFonts w:ascii="Calibri" w:eastAsia="Georgia" w:hAnsi="Calibri" w:cs="Calibri"/>
          <w:i/>
          <w:sz w:val="20"/>
          <w:szCs w:val="20"/>
        </w:rPr>
        <w:t>:</w:t>
      </w:r>
      <w:r w:rsidRPr="000D4895">
        <w:rPr>
          <w:rFonts w:ascii="Calibri" w:eastAsia="Georgia" w:hAnsi="Calibri" w:cs="Calibri"/>
          <w:i/>
          <w:sz w:val="20"/>
          <w:szCs w:val="20"/>
        </w:rPr>
        <w:t xml:space="preserve"> </w:t>
      </w:r>
      <w:r w:rsidR="00F52BE1" w:rsidRPr="000D4895">
        <w:rPr>
          <w:rFonts w:ascii="Calibri" w:eastAsia="Georgia" w:hAnsi="Calibri" w:cs="Calibri"/>
          <w:i/>
          <w:sz w:val="20"/>
          <w:szCs w:val="20"/>
        </w:rPr>
        <w:t>h</w:t>
      </w:r>
      <w:r w:rsidRPr="000D4895">
        <w:rPr>
          <w:rFonts w:ascii="Calibri" w:eastAsia="Georgia" w:hAnsi="Calibri" w:cs="Calibri"/>
          <w:i/>
          <w:sz w:val="20"/>
          <w:szCs w:val="20"/>
        </w:rPr>
        <w:t xml:space="preserve">ow </w:t>
      </w:r>
      <w:r w:rsidR="00F52BE1" w:rsidRPr="000D4895">
        <w:rPr>
          <w:rFonts w:ascii="Calibri" w:eastAsia="Georgia" w:hAnsi="Calibri" w:cs="Calibri"/>
          <w:i/>
          <w:sz w:val="20"/>
          <w:szCs w:val="20"/>
        </w:rPr>
        <w:t>o</w:t>
      </w:r>
      <w:r w:rsidRPr="000D4895">
        <w:rPr>
          <w:rFonts w:ascii="Calibri" w:eastAsia="Georgia" w:hAnsi="Calibri" w:cs="Calibri"/>
          <w:i/>
          <w:sz w:val="20"/>
          <w:szCs w:val="20"/>
        </w:rPr>
        <w:t xml:space="preserve">ne </w:t>
      </w:r>
      <w:r w:rsidR="00F52BE1" w:rsidRPr="000D4895">
        <w:rPr>
          <w:rFonts w:ascii="Calibri" w:eastAsia="Georgia" w:hAnsi="Calibri" w:cs="Calibri"/>
          <w:i/>
          <w:sz w:val="20"/>
          <w:szCs w:val="20"/>
        </w:rPr>
        <w:t>t</w:t>
      </w:r>
      <w:r w:rsidRPr="000D4895">
        <w:rPr>
          <w:rFonts w:ascii="Calibri" w:eastAsia="Georgia" w:hAnsi="Calibri" w:cs="Calibri"/>
          <w:i/>
          <w:sz w:val="20"/>
          <w:szCs w:val="20"/>
        </w:rPr>
        <w:t xml:space="preserve">own </w:t>
      </w:r>
      <w:r w:rsidR="00F52BE1" w:rsidRPr="000D4895">
        <w:rPr>
          <w:rFonts w:ascii="Calibri" w:eastAsia="Georgia" w:hAnsi="Calibri" w:cs="Calibri"/>
          <w:i/>
          <w:sz w:val="20"/>
          <w:szCs w:val="20"/>
        </w:rPr>
        <w:t>m</w:t>
      </w:r>
      <w:r w:rsidRPr="000D4895">
        <w:rPr>
          <w:rFonts w:ascii="Calibri" w:eastAsia="Georgia" w:hAnsi="Calibri" w:cs="Calibri"/>
          <w:i/>
          <w:sz w:val="20"/>
          <w:szCs w:val="20"/>
        </w:rPr>
        <w:t xml:space="preserve">anages </w:t>
      </w:r>
      <w:r w:rsidR="00F52BE1" w:rsidRPr="000D4895">
        <w:rPr>
          <w:rFonts w:ascii="Calibri" w:eastAsia="Georgia" w:hAnsi="Calibri" w:cs="Calibri"/>
          <w:i/>
          <w:sz w:val="20"/>
          <w:szCs w:val="20"/>
        </w:rPr>
        <w:t>i</w:t>
      </w:r>
      <w:r w:rsidRPr="000D4895">
        <w:rPr>
          <w:rFonts w:ascii="Calibri" w:eastAsia="Georgia" w:hAnsi="Calibri" w:cs="Calibri"/>
          <w:i/>
          <w:sz w:val="20"/>
          <w:szCs w:val="20"/>
        </w:rPr>
        <w:t xml:space="preserve">nequality in the </w:t>
      </w:r>
      <w:r w:rsidR="00F52BE1" w:rsidRPr="000D4895">
        <w:rPr>
          <w:rFonts w:ascii="Calibri" w:eastAsia="Georgia" w:hAnsi="Calibri" w:cs="Calibri"/>
          <w:i/>
          <w:sz w:val="20"/>
          <w:szCs w:val="20"/>
        </w:rPr>
        <w:t>e</w:t>
      </w:r>
      <w:r w:rsidRPr="000D4895">
        <w:rPr>
          <w:rFonts w:ascii="Calibri" w:eastAsia="Georgia" w:hAnsi="Calibri" w:cs="Calibri"/>
          <w:i/>
          <w:sz w:val="20"/>
          <w:szCs w:val="20"/>
        </w:rPr>
        <w:t xml:space="preserve">ra of </w:t>
      </w:r>
      <w:proofErr w:type="spellStart"/>
      <w:r w:rsidR="00F52BE1" w:rsidRPr="000D4895">
        <w:rPr>
          <w:rFonts w:ascii="Calibri" w:eastAsia="Georgia" w:hAnsi="Calibri" w:cs="Calibri"/>
          <w:i/>
          <w:sz w:val="20"/>
          <w:szCs w:val="20"/>
        </w:rPr>
        <w:t>s</w:t>
      </w:r>
      <w:r w:rsidRPr="000D4895">
        <w:rPr>
          <w:rFonts w:ascii="Calibri" w:eastAsia="Georgia" w:hAnsi="Calibri" w:cs="Calibri"/>
          <w:i/>
          <w:sz w:val="20"/>
          <w:szCs w:val="20"/>
        </w:rPr>
        <w:t>upergentrification</w:t>
      </w:r>
      <w:proofErr w:type="spellEnd"/>
      <w:r w:rsidRPr="000D4895">
        <w:rPr>
          <w:rFonts w:ascii="Calibri" w:eastAsia="Georgia" w:hAnsi="Calibri" w:cs="Calibri"/>
          <w:sz w:val="20"/>
          <w:szCs w:val="20"/>
        </w:rPr>
        <w:t>. Oakland, CA: University of California Press.</w:t>
      </w:r>
    </w:p>
    <w:p w14:paraId="6FECF998" w14:textId="3191C4EC" w:rsidR="00C40CD0" w:rsidRPr="003A2769" w:rsidRDefault="003C69BD" w:rsidP="000D4895">
      <w:pPr>
        <w:pStyle w:val="BodyText"/>
        <w:spacing w:before="120"/>
        <w:ind w:right="461"/>
        <w:textDirection w:val="btLr"/>
        <w:rPr>
          <w:rFonts w:ascii="Calibri" w:eastAsia="Cambria" w:hAnsi="Calibri"/>
          <w:color w:val="000000" w:themeColor="text1"/>
          <w:sz w:val="20"/>
          <w:szCs w:val="20"/>
        </w:rPr>
      </w:pPr>
      <w:r w:rsidRPr="000D4895">
        <w:rPr>
          <w:rFonts w:ascii="Calibri" w:eastAsia="Georgia" w:hAnsi="Calibri" w:cs="Calibri"/>
          <w:sz w:val="20"/>
          <w:szCs w:val="20"/>
        </w:rPr>
        <w:t>Ulrich</w:t>
      </w:r>
      <w:r w:rsidR="00C40CD0" w:rsidRPr="000D4895">
        <w:rPr>
          <w:rFonts w:ascii="Calibri" w:eastAsia="Georgia" w:hAnsi="Calibri" w:cs="Calibri"/>
          <w:sz w:val="20"/>
          <w:szCs w:val="20"/>
        </w:rPr>
        <w:t xml:space="preserve">- </w:t>
      </w:r>
      <w:proofErr w:type="spellStart"/>
      <w:r w:rsidRPr="000D4895">
        <w:rPr>
          <w:rFonts w:ascii="Calibri" w:eastAsia="Georgia" w:hAnsi="Calibri" w:cs="Calibri"/>
          <w:sz w:val="20"/>
          <w:szCs w:val="20"/>
        </w:rPr>
        <w:t>Schad</w:t>
      </w:r>
      <w:proofErr w:type="spellEnd"/>
      <w:r w:rsidRPr="000D4895">
        <w:rPr>
          <w:rFonts w:ascii="Calibri" w:eastAsia="Georgia" w:hAnsi="Calibri" w:cs="Calibri"/>
          <w:sz w:val="20"/>
          <w:szCs w:val="20"/>
        </w:rPr>
        <w:t>, J</w:t>
      </w:r>
      <w:r w:rsidR="00C40CD0" w:rsidRPr="000D4895">
        <w:rPr>
          <w:rFonts w:ascii="Calibri" w:eastAsia="Georgia" w:hAnsi="Calibri" w:cs="Calibri"/>
          <w:sz w:val="20"/>
          <w:szCs w:val="20"/>
        </w:rPr>
        <w:t>.</w:t>
      </w:r>
      <w:r w:rsidRPr="000D4895">
        <w:rPr>
          <w:rFonts w:ascii="Calibri" w:eastAsia="Georgia" w:hAnsi="Calibri" w:cs="Calibri"/>
          <w:sz w:val="20"/>
          <w:szCs w:val="20"/>
        </w:rPr>
        <w:t xml:space="preserve"> and H</w:t>
      </w:r>
      <w:r w:rsidR="00C40CD0" w:rsidRPr="000D4895">
        <w:rPr>
          <w:rFonts w:ascii="Calibri" w:eastAsia="Georgia" w:hAnsi="Calibri" w:cs="Calibri"/>
          <w:sz w:val="20"/>
          <w:szCs w:val="20"/>
        </w:rPr>
        <w:t xml:space="preserve">. </w:t>
      </w:r>
      <w:r w:rsidRPr="000D4895">
        <w:rPr>
          <w:rFonts w:ascii="Calibri" w:eastAsia="Georgia" w:hAnsi="Calibri" w:cs="Calibri"/>
          <w:sz w:val="20"/>
          <w:szCs w:val="20"/>
        </w:rPr>
        <w:t xml:space="preserve">Qin. (2018). Culture </w:t>
      </w:r>
      <w:r w:rsidR="00F52BE1" w:rsidRPr="000D4895">
        <w:rPr>
          <w:rFonts w:ascii="Calibri" w:eastAsia="Georgia" w:hAnsi="Calibri" w:cs="Calibri"/>
          <w:sz w:val="20"/>
          <w:szCs w:val="20"/>
        </w:rPr>
        <w:t>c</w:t>
      </w:r>
      <w:r w:rsidRPr="000D4895">
        <w:rPr>
          <w:rFonts w:ascii="Calibri" w:eastAsia="Georgia" w:hAnsi="Calibri" w:cs="Calibri"/>
          <w:sz w:val="20"/>
          <w:szCs w:val="20"/>
        </w:rPr>
        <w:t xml:space="preserve">lash? Predictors of </w:t>
      </w:r>
      <w:r w:rsidR="00F52BE1" w:rsidRPr="000D4895">
        <w:rPr>
          <w:rFonts w:ascii="Calibri" w:eastAsia="Georgia" w:hAnsi="Calibri" w:cs="Calibri"/>
          <w:sz w:val="20"/>
          <w:szCs w:val="20"/>
        </w:rPr>
        <w:t>v</w:t>
      </w:r>
      <w:r w:rsidRPr="000D4895">
        <w:rPr>
          <w:rFonts w:ascii="Calibri" w:eastAsia="Georgia" w:hAnsi="Calibri" w:cs="Calibri"/>
          <w:sz w:val="20"/>
          <w:szCs w:val="20"/>
        </w:rPr>
        <w:t xml:space="preserve">iews on </w:t>
      </w:r>
      <w:r w:rsidR="00F52BE1" w:rsidRPr="000D4895">
        <w:rPr>
          <w:rFonts w:ascii="Calibri" w:eastAsia="Georgia" w:hAnsi="Calibri" w:cs="Calibri"/>
          <w:sz w:val="20"/>
          <w:szCs w:val="20"/>
        </w:rPr>
        <w:t>a</w:t>
      </w:r>
      <w:r w:rsidRPr="000D4895">
        <w:rPr>
          <w:rFonts w:ascii="Calibri" w:eastAsia="Georgia" w:hAnsi="Calibri" w:cs="Calibri"/>
          <w:sz w:val="20"/>
          <w:szCs w:val="20"/>
        </w:rPr>
        <w:t>menity-</w:t>
      </w:r>
      <w:r w:rsidR="00F52BE1" w:rsidRPr="000D4895">
        <w:rPr>
          <w:rFonts w:ascii="Calibri" w:eastAsia="Georgia" w:hAnsi="Calibri" w:cs="Calibri"/>
          <w:sz w:val="20"/>
          <w:szCs w:val="20"/>
        </w:rPr>
        <w:t>l</w:t>
      </w:r>
      <w:r w:rsidRPr="000D4895">
        <w:rPr>
          <w:rFonts w:ascii="Calibri" w:eastAsia="Georgia" w:hAnsi="Calibri" w:cs="Calibri"/>
          <w:sz w:val="20"/>
          <w:szCs w:val="20"/>
        </w:rPr>
        <w:t xml:space="preserve">ed </w:t>
      </w:r>
      <w:r w:rsidR="00F52BE1" w:rsidRPr="000D4895">
        <w:rPr>
          <w:rFonts w:ascii="Calibri" w:eastAsia="Georgia" w:hAnsi="Calibri" w:cs="Calibri"/>
          <w:sz w:val="20"/>
          <w:szCs w:val="20"/>
        </w:rPr>
        <w:t>d</w:t>
      </w:r>
      <w:r w:rsidRPr="000D4895">
        <w:rPr>
          <w:rFonts w:ascii="Calibri" w:eastAsia="Georgia" w:hAnsi="Calibri" w:cs="Calibri"/>
          <w:sz w:val="20"/>
          <w:szCs w:val="20"/>
        </w:rPr>
        <w:t xml:space="preserve">evelopment and </w:t>
      </w:r>
      <w:r w:rsidR="00F52BE1" w:rsidRPr="000D4895">
        <w:rPr>
          <w:rFonts w:ascii="Calibri" w:eastAsia="Georgia" w:hAnsi="Calibri" w:cs="Calibri"/>
          <w:sz w:val="20"/>
          <w:szCs w:val="20"/>
        </w:rPr>
        <w:t>c</w:t>
      </w:r>
      <w:r w:rsidRPr="000D4895">
        <w:rPr>
          <w:rFonts w:ascii="Calibri" w:eastAsia="Georgia" w:hAnsi="Calibri" w:cs="Calibri"/>
          <w:sz w:val="20"/>
          <w:szCs w:val="20"/>
        </w:rPr>
        <w:t xml:space="preserve">ommunity </w:t>
      </w:r>
      <w:r w:rsidR="00F52BE1" w:rsidRPr="000D4895">
        <w:rPr>
          <w:rFonts w:ascii="Calibri" w:eastAsia="Georgia" w:hAnsi="Calibri" w:cs="Calibri"/>
          <w:sz w:val="20"/>
          <w:szCs w:val="20"/>
        </w:rPr>
        <w:t>i</w:t>
      </w:r>
      <w:r w:rsidR="00C40CD0" w:rsidRPr="000D4895">
        <w:rPr>
          <w:rFonts w:ascii="Calibri" w:eastAsia="Georgia" w:hAnsi="Calibri" w:cs="Calibri"/>
          <w:sz w:val="20"/>
          <w:szCs w:val="20"/>
        </w:rPr>
        <w:t>nvolvement</w:t>
      </w:r>
      <w:r w:rsidRPr="003A2769">
        <w:rPr>
          <w:rFonts w:ascii="Calibri" w:eastAsia="Georgia" w:hAnsi="Calibri" w:cs="Calibri"/>
          <w:color w:val="000000" w:themeColor="text1"/>
          <w:sz w:val="20"/>
          <w:szCs w:val="20"/>
        </w:rPr>
        <w:t xml:space="preserve"> in </w:t>
      </w:r>
      <w:r w:rsidR="00F52BE1" w:rsidRPr="003A2769">
        <w:rPr>
          <w:rFonts w:ascii="Calibri" w:eastAsia="Georgia" w:hAnsi="Calibri" w:cs="Calibri"/>
          <w:color w:val="000000" w:themeColor="text1"/>
          <w:sz w:val="20"/>
          <w:szCs w:val="20"/>
        </w:rPr>
        <w:t>r</w:t>
      </w:r>
      <w:r w:rsidRPr="003A2769">
        <w:rPr>
          <w:rFonts w:ascii="Calibri" w:eastAsia="Georgia" w:hAnsi="Calibri" w:cs="Calibri"/>
          <w:color w:val="000000" w:themeColor="text1"/>
          <w:sz w:val="20"/>
          <w:szCs w:val="20"/>
        </w:rPr>
        <w:t xml:space="preserve">ural </w:t>
      </w:r>
      <w:r w:rsidR="00F52BE1" w:rsidRPr="003A2769">
        <w:rPr>
          <w:rFonts w:ascii="Calibri" w:eastAsia="Georgia" w:hAnsi="Calibri" w:cs="Calibri"/>
          <w:color w:val="000000" w:themeColor="text1"/>
          <w:sz w:val="20"/>
          <w:szCs w:val="20"/>
        </w:rPr>
        <w:t>r</w:t>
      </w:r>
      <w:r w:rsidRPr="003A2769">
        <w:rPr>
          <w:rFonts w:ascii="Calibri" w:eastAsia="Georgia" w:hAnsi="Calibri" w:cs="Calibri"/>
          <w:color w:val="000000" w:themeColor="text1"/>
          <w:sz w:val="20"/>
          <w:szCs w:val="20"/>
        </w:rPr>
        <w:t xml:space="preserve">ecreation </w:t>
      </w:r>
      <w:r w:rsidR="00F52BE1" w:rsidRPr="003A2769">
        <w:rPr>
          <w:rFonts w:ascii="Calibri" w:eastAsia="Georgia" w:hAnsi="Calibri" w:cs="Calibri"/>
          <w:color w:val="000000" w:themeColor="text1"/>
          <w:sz w:val="20"/>
          <w:szCs w:val="20"/>
        </w:rPr>
        <w:t>c</w:t>
      </w:r>
      <w:r w:rsidRPr="003A2769">
        <w:rPr>
          <w:rFonts w:ascii="Calibri" w:eastAsia="Georgia" w:hAnsi="Calibri" w:cs="Calibri"/>
          <w:color w:val="000000" w:themeColor="text1"/>
          <w:sz w:val="20"/>
          <w:szCs w:val="20"/>
        </w:rPr>
        <w:t xml:space="preserve">ounties. </w:t>
      </w:r>
      <w:r w:rsidRPr="000D4895">
        <w:rPr>
          <w:rFonts w:ascii="Calibri" w:eastAsia="Georgia" w:hAnsi="Calibri" w:cs="Calibri"/>
          <w:i/>
          <w:color w:val="000000" w:themeColor="text1"/>
          <w:sz w:val="20"/>
          <w:szCs w:val="20"/>
        </w:rPr>
        <w:t>Rural Sociology</w:t>
      </w:r>
      <w:r w:rsidR="00C40CD0" w:rsidRPr="003A2769">
        <w:rPr>
          <w:rFonts w:ascii="Calibri" w:eastAsia="Georgia" w:hAnsi="Calibri" w:cs="Calibri"/>
          <w:color w:val="000000" w:themeColor="text1"/>
          <w:sz w:val="20"/>
          <w:szCs w:val="20"/>
        </w:rPr>
        <w:t>,</w:t>
      </w:r>
      <w:r w:rsidRPr="003A2769">
        <w:rPr>
          <w:rFonts w:ascii="Calibri" w:eastAsia="Georgia" w:hAnsi="Calibri" w:cs="Calibri"/>
          <w:color w:val="000000" w:themeColor="text1"/>
          <w:sz w:val="20"/>
          <w:szCs w:val="20"/>
        </w:rPr>
        <w:t xml:space="preserve"> 83</w:t>
      </w:r>
      <w:r w:rsidR="00C40CD0" w:rsidRPr="003A2769">
        <w:rPr>
          <w:rFonts w:ascii="Calibri" w:eastAsia="Georgia" w:hAnsi="Calibri" w:cs="Calibri"/>
          <w:color w:val="000000" w:themeColor="text1"/>
          <w:sz w:val="20"/>
          <w:szCs w:val="20"/>
        </w:rPr>
        <w:t>(</w:t>
      </w:r>
      <w:r w:rsidRPr="003A2769">
        <w:rPr>
          <w:rFonts w:ascii="Calibri" w:eastAsia="Georgia" w:hAnsi="Calibri" w:cs="Calibri"/>
          <w:color w:val="000000" w:themeColor="text1"/>
          <w:sz w:val="20"/>
          <w:szCs w:val="20"/>
        </w:rPr>
        <w:t>1</w:t>
      </w:r>
      <w:r w:rsidR="00C40CD0" w:rsidRPr="003A2769">
        <w:rPr>
          <w:rFonts w:ascii="Calibri" w:eastAsia="Georgia" w:hAnsi="Calibri" w:cs="Calibri"/>
          <w:color w:val="000000" w:themeColor="text1"/>
          <w:sz w:val="20"/>
          <w:szCs w:val="20"/>
        </w:rPr>
        <w:t>):</w:t>
      </w:r>
      <w:r w:rsidRPr="003A2769">
        <w:rPr>
          <w:rFonts w:ascii="Calibri" w:eastAsia="Georgia" w:hAnsi="Calibri" w:cs="Calibri"/>
          <w:color w:val="000000" w:themeColor="text1"/>
          <w:sz w:val="20"/>
          <w:szCs w:val="20"/>
        </w:rPr>
        <w:t xml:space="preserve"> 81-108.</w:t>
      </w:r>
    </w:p>
    <w:p w14:paraId="295401BA" w14:textId="07CCEC85" w:rsidR="003C69BD" w:rsidRPr="003C69BD" w:rsidRDefault="003C69BD" w:rsidP="00C40CD0">
      <w:pPr>
        <w:pStyle w:val="BodyText"/>
        <w:spacing w:before="120"/>
        <w:ind w:right="461"/>
        <w:textDirection w:val="btLr"/>
        <w:rPr>
          <w:rFonts w:ascii="Calibri" w:eastAsia="Georgia" w:hAnsi="Calibri" w:cs="Calibri"/>
          <w:sz w:val="20"/>
          <w:szCs w:val="20"/>
        </w:rPr>
      </w:pPr>
      <w:r w:rsidRPr="003A2769">
        <w:rPr>
          <w:rFonts w:ascii="Calibri" w:eastAsia="Georgia" w:hAnsi="Calibri" w:cs="Calibri"/>
          <w:color w:val="000000" w:themeColor="text1"/>
          <w:sz w:val="20"/>
          <w:szCs w:val="20"/>
        </w:rPr>
        <w:t xml:space="preserve">Wang, Y., </w:t>
      </w:r>
      <w:r w:rsidR="00C40CD0" w:rsidRPr="003A2769">
        <w:rPr>
          <w:rFonts w:ascii="Calibri" w:eastAsia="Georgia" w:hAnsi="Calibri" w:cs="Calibri"/>
          <w:color w:val="000000" w:themeColor="text1"/>
          <w:sz w:val="20"/>
          <w:szCs w:val="20"/>
        </w:rPr>
        <w:t xml:space="preserve">D. </w:t>
      </w:r>
      <w:proofErr w:type="spellStart"/>
      <w:r w:rsidRPr="003A2769">
        <w:rPr>
          <w:rFonts w:ascii="Calibri" w:eastAsia="Georgia" w:hAnsi="Calibri" w:cs="Calibri"/>
          <w:color w:val="000000" w:themeColor="text1"/>
          <w:sz w:val="20"/>
          <w:szCs w:val="20"/>
        </w:rPr>
        <w:t>Veneziano</w:t>
      </w:r>
      <w:proofErr w:type="spellEnd"/>
      <w:r w:rsidRPr="003A2769">
        <w:rPr>
          <w:rFonts w:ascii="Calibri" w:eastAsia="Georgia" w:hAnsi="Calibri" w:cs="Calibri"/>
          <w:color w:val="000000" w:themeColor="text1"/>
          <w:sz w:val="20"/>
          <w:szCs w:val="20"/>
        </w:rPr>
        <w:t xml:space="preserve">, </w:t>
      </w:r>
      <w:r w:rsidR="00C40CD0" w:rsidRPr="003A2769">
        <w:rPr>
          <w:rFonts w:ascii="Calibri" w:eastAsia="Georgia" w:hAnsi="Calibri" w:cs="Calibri"/>
          <w:color w:val="000000" w:themeColor="text1"/>
          <w:sz w:val="20"/>
          <w:szCs w:val="20"/>
        </w:rPr>
        <w:t>S.</w:t>
      </w:r>
      <w:r w:rsidRPr="003A2769">
        <w:rPr>
          <w:rFonts w:ascii="Calibri" w:eastAsia="Georgia" w:hAnsi="Calibri" w:cs="Calibri"/>
          <w:color w:val="000000" w:themeColor="text1"/>
          <w:sz w:val="20"/>
          <w:szCs w:val="20"/>
        </w:rPr>
        <w:t xml:space="preserve"> Russell, </w:t>
      </w:r>
      <w:r w:rsidR="00C40CD0" w:rsidRPr="003A2769">
        <w:rPr>
          <w:rFonts w:ascii="Calibri" w:eastAsia="Georgia" w:hAnsi="Calibri" w:cs="Calibri"/>
          <w:color w:val="000000" w:themeColor="text1"/>
          <w:sz w:val="20"/>
          <w:szCs w:val="20"/>
        </w:rPr>
        <w:t>and A.</w:t>
      </w:r>
      <w:r w:rsidRPr="003A2769">
        <w:rPr>
          <w:rFonts w:ascii="Calibri" w:eastAsia="Georgia" w:hAnsi="Calibri" w:cs="Calibri"/>
          <w:color w:val="000000" w:themeColor="text1"/>
          <w:sz w:val="20"/>
          <w:szCs w:val="20"/>
        </w:rPr>
        <w:t xml:space="preserve"> Al-</w:t>
      </w:r>
      <w:proofErr w:type="spellStart"/>
      <w:r w:rsidRPr="003A2769">
        <w:rPr>
          <w:rFonts w:ascii="Calibri" w:eastAsia="Georgia" w:hAnsi="Calibri" w:cs="Calibri"/>
          <w:color w:val="000000" w:themeColor="text1"/>
          <w:sz w:val="20"/>
          <w:szCs w:val="20"/>
        </w:rPr>
        <w:t>Kaisy</w:t>
      </w:r>
      <w:proofErr w:type="spellEnd"/>
      <w:r w:rsidR="00182CE7">
        <w:rPr>
          <w:rFonts w:ascii="Calibri" w:eastAsia="Georgia" w:hAnsi="Calibri" w:cs="Calibri"/>
          <w:color w:val="000000" w:themeColor="text1"/>
          <w:sz w:val="20"/>
          <w:szCs w:val="20"/>
        </w:rPr>
        <w:t>.</w:t>
      </w:r>
      <w:r w:rsidRPr="003A2769">
        <w:rPr>
          <w:rFonts w:ascii="Calibri" w:eastAsia="Georgia" w:hAnsi="Calibri" w:cs="Calibri"/>
          <w:color w:val="000000" w:themeColor="text1"/>
          <w:sz w:val="20"/>
          <w:szCs w:val="20"/>
        </w:rPr>
        <w:t xml:space="preserve"> (2016). Traffic safety along tourist routes in rural areas.</w:t>
      </w:r>
      <w:r w:rsidR="00C40CD0" w:rsidRPr="003A2769">
        <w:rPr>
          <w:rFonts w:ascii="Calibri" w:eastAsia="Georgia" w:hAnsi="Calibri" w:cs="Calibri"/>
          <w:color w:val="000000" w:themeColor="text1"/>
          <w:sz w:val="20"/>
          <w:szCs w:val="20"/>
        </w:rPr>
        <w:t xml:space="preserve"> </w:t>
      </w:r>
      <w:r w:rsidRPr="003A2769">
        <w:rPr>
          <w:rFonts w:ascii="Calibri" w:eastAsia="Georgia" w:hAnsi="Calibri" w:cs="Calibri"/>
          <w:color w:val="000000" w:themeColor="text1"/>
          <w:sz w:val="20"/>
          <w:szCs w:val="20"/>
        </w:rPr>
        <w:t xml:space="preserve">Transportation </w:t>
      </w:r>
      <w:r w:rsidRPr="003C69BD">
        <w:rPr>
          <w:rFonts w:ascii="Calibri" w:eastAsia="Georgia" w:hAnsi="Calibri" w:cs="Calibri"/>
          <w:sz w:val="20"/>
          <w:szCs w:val="20"/>
        </w:rPr>
        <w:t xml:space="preserve">Research Record: </w:t>
      </w:r>
      <w:r w:rsidRPr="000D4895">
        <w:rPr>
          <w:rFonts w:ascii="Calibri" w:eastAsia="Georgia" w:hAnsi="Calibri" w:cs="Calibri"/>
          <w:i/>
          <w:sz w:val="20"/>
          <w:szCs w:val="20"/>
        </w:rPr>
        <w:t>Journal of the Transportation Research Board</w:t>
      </w:r>
      <w:r w:rsidR="00C40CD0">
        <w:rPr>
          <w:rFonts w:ascii="Calibri" w:eastAsia="Georgia" w:hAnsi="Calibri" w:cs="Calibri"/>
          <w:sz w:val="20"/>
          <w:szCs w:val="20"/>
        </w:rPr>
        <w:t xml:space="preserve">, </w:t>
      </w:r>
      <w:r w:rsidRPr="003C69BD">
        <w:rPr>
          <w:rFonts w:ascii="Calibri" w:eastAsia="Georgia" w:hAnsi="Calibri" w:cs="Calibri"/>
          <w:sz w:val="20"/>
          <w:szCs w:val="20"/>
        </w:rPr>
        <w:t>2568</w:t>
      </w:r>
      <w:r w:rsidR="00C40CD0">
        <w:rPr>
          <w:rFonts w:ascii="Calibri" w:eastAsia="Georgia" w:hAnsi="Calibri" w:cs="Calibri"/>
          <w:sz w:val="20"/>
          <w:szCs w:val="20"/>
        </w:rPr>
        <w:t>:</w:t>
      </w:r>
      <w:r w:rsidRPr="003C69BD">
        <w:rPr>
          <w:rFonts w:ascii="Calibri" w:eastAsia="Georgia" w:hAnsi="Calibri" w:cs="Calibri"/>
          <w:sz w:val="20"/>
          <w:szCs w:val="20"/>
        </w:rPr>
        <w:t xml:space="preserve"> 55-63.</w:t>
      </w:r>
    </w:p>
    <w:p w14:paraId="16D30A33" w14:textId="22B7885E"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 xml:space="preserve">White, D. D. (2007). An interpretive study of Yosemite National Park visitors’ perspectives toward alternative transportation in Yosemite Valley. </w:t>
      </w:r>
      <w:r w:rsidRPr="000D4895">
        <w:rPr>
          <w:rFonts w:ascii="Calibri" w:eastAsia="Georgia" w:hAnsi="Calibri" w:cs="Calibri"/>
          <w:i/>
          <w:sz w:val="20"/>
          <w:szCs w:val="20"/>
        </w:rPr>
        <w:t>Environmental Management</w:t>
      </w:r>
      <w:r w:rsidR="00C40CD0">
        <w:rPr>
          <w:rFonts w:ascii="Calibri" w:eastAsia="Georgia" w:hAnsi="Calibri" w:cs="Calibri"/>
          <w:sz w:val="20"/>
          <w:szCs w:val="20"/>
        </w:rPr>
        <w:t>,</w:t>
      </w:r>
      <w:r w:rsidRPr="003C69BD">
        <w:rPr>
          <w:rFonts w:ascii="Calibri" w:eastAsia="Georgia" w:hAnsi="Calibri" w:cs="Calibri"/>
          <w:sz w:val="20"/>
          <w:szCs w:val="20"/>
        </w:rPr>
        <w:t xml:space="preserve"> 39(1)</w:t>
      </w:r>
      <w:r w:rsidR="00C40CD0">
        <w:rPr>
          <w:rFonts w:ascii="Calibri" w:eastAsia="Georgia" w:hAnsi="Calibri" w:cs="Calibri"/>
          <w:sz w:val="20"/>
          <w:szCs w:val="20"/>
        </w:rPr>
        <w:t>:</w:t>
      </w:r>
      <w:r w:rsidRPr="003C69BD">
        <w:rPr>
          <w:rFonts w:ascii="Calibri" w:eastAsia="Georgia" w:hAnsi="Calibri" w:cs="Calibri"/>
          <w:sz w:val="20"/>
          <w:szCs w:val="20"/>
        </w:rPr>
        <w:t xml:space="preserve"> 50-62.</w:t>
      </w:r>
    </w:p>
    <w:p w14:paraId="393B00E6" w14:textId="32F0802F" w:rsidR="003C69BD" w:rsidRPr="003C69BD" w:rsidRDefault="003C69BD" w:rsidP="00C40CD0">
      <w:pPr>
        <w:pStyle w:val="BodyText"/>
        <w:spacing w:before="120"/>
        <w:ind w:right="461"/>
        <w:textDirection w:val="btLr"/>
        <w:rPr>
          <w:rFonts w:ascii="Calibri" w:eastAsia="Georgia" w:hAnsi="Calibri" w:cs="Calibri"/>
          <w:sz w:val="20"/>
          <w:szCs w:val="20"/>
        </w:rPr>
      </w:pPr>
      <w:r w:rsidRPr="003C69BD">
        <w:rPr>
          <w:rFonts w:ascii="Calibri" w:eastAsia="Georgia" w:hAnsi="Calibri" w:cs="Calibri"/>
          <w:sz w:val="20"/>
          <w:szCs w:val="20"/>
        </w:rPr>
        <w:t>Winkler, D</w:t>
      </w:r>
      <w:r w:rsidR="0033303D">
        <w:rPr>
          <w:rFonts w:ascii="Calibri" w:eastAsia="Georgia" w:hAnsi="Calibri" w:cs="Calibri"/>
          <w:sz w:val="20"/>
          <w:szCs w:val="20"/>
        </w:rPr>
        <w:t>. and D.</w:t>
      </w:r>
      <w:r w:rsidRPr="003C69BD">
        <w:rPr>
          <w:rFonts w:ascii="Calibri" w:eastAsia="Georgia" w:hAnsi="Calibri" w:cs="Calibri"/>
          <w:sz w:val="20"/>
          <w:szCs w:val="20"/>
        </w:rPr>
        <w:t xml:space="preserve"> </w:t>
      </w:r>
      <w:proofErr w:type="spellStart"/>
      <w:r w:rsidRPr="003C69BD">
        <w:rPr>
          <w:rFonts w:ascii="Calibri" w:eastAsia="Georgia" w:hAnsi="Calibri" w:cs="Calibri"/>
          <w:sz w:val="20"/>
          <w:szCs w:val="20"/>
        </w:rPr>
        <w:t>Marcouiller</w:t>
      </w:r>
      <w:proofErr w:type="spellEnd"/>
      <w:r w:rsidRPr="003C69BD">
        <w:rPr>
          <w:rFonts w:ascii="Calibri" w:eastAsia="Georgia" w:hAnsi="Calibri" w:cs="Calibri"/>
          <w:sz w:val="20"/>
          <w:szCs w:val="20"/>
        </w:rPr>
        <w:t xml:space="preserve">. </w:t>
      </w:r>
      <w:r w:rsidR="00447E97">
        <w:rPr>
          <w:rFonts w:ascii="Calibri" w:eastAsia="Georgia" w:hAnsi="Calibri" w:cs="Calibri"/>
          <w:sz w:val="20"/>
          <w:szCs w:val="20"/>
        </w:rPr>
        <w:t>(</w:t>
      </w:r>
      <w:r w:rsidRPr="003C69BD">
        <w:rPr>
          <w:rFonts w:ascii="Calibri" w:eastAsia="Georgia" w:hAnsi="Calibri" w:cs="Calibri"/>
          <w:sz w:val="20"/>
          <w:szCs w:val="20"/>
        </w:rPr>
        <w:t>2015</w:t>
      </w:r>
      <w:r w:rsidR="00447E97">
        <w:rPr>
          <w:rFonts w:ascii="Calibri" w:eastAsia="Georgia" w:hAnsi="Calibri" w:cs="Calibri"/>
          <w:sz w:val="20"/>
          <w:szCs w:val="20"/>
        </w:rPr>
        <w:t>)</w:t>
      </w:r>
      <w:r w:rsidRPr="003C69BD">
        <w:rPr>
          <w:rFonts w:ascii="Calibri" w:eastAsia="Georgia" w:hAnsi="Calibri" w:cs="Calibri"/>
          <w:sz w:val="20"/>
          <w:szCs w:val="20"/>
        </w:rPr>
        <w:t xml:space="preserve">. </w:t>
      </w:r>
      <w:r w:rsidR="00525F52" w:rsidRPr="003C69BD">
        <w:rPr>
          <w:rFonts w:ascii="Calibri" w:eastAsia="Georgia" w:hAnsi="Calibri" w:cs="Calibri"/>
          <w:sz w:val="20"/>
          <w:szCs w:val="20"/>
        </w:rPr>
        <w:t>Recreational</w:t>
      </w:r>
      <w:r w:rsidRPr="003C69BD">
        <w:rPr>
          <w:rFonts w:ascii="Calibri" w:eastAsia="Georgia" w:hAnsi="Calibri" w:cs="Calibri"/>
          <w:sz w:val="20"/>
          <w:szCs w:val="20"/>
        </w:rPr>
        <w:t xml:space="preserve"> </w:t>
      </w:r>
      <w:r w:rsidR="00F52BE1">
        <w:rPr>
          <w:rFonts w:ascii="Calibri" w:eastAsia="Georgia" w:hAnsi="Calibri" w:cs="Calibri"/>
          <w:sz w:val="20"/>
          <w:szCs w:val="20"/>
        </w:rPr>
        <w:t>h</w:t>
      </w:r>
      <w:r w:rsidRPr="003C69BD">
        <w:rPr>
          <w:rFonts w:ascii="Calibri" w:eastAsia="Georgia" w:hAnsi="Calibri" w:cs="Calibri"/>
          <w:sz w:val="20"/>
          <w:szCs w:val="20"/>
        </w:rPr>
        <w:t xml:space="preserve">ousing and </w:t>
      </w:r>
      <w:r w:rsidR="00F52BE1">
        <w:rPr>
          <w:rFonts w:ascii="Calibri" w:eastAsia="Georgia" w:hAnsi="Calibri" w:cs="Calibri"/>
          <w:sz w:val="20"/>
          <w:szCs w:val="20"/>
        </w:rPr>
        <w:t>c</w:t>
      </w:r>
      <w:r w:rsidRPr="003C69BD">
        <w:rPr>
          <w:rFonts w:ascii="Calibri" w:eastAsia="Georgia" w:hAnsi="Calibri" w:cs="Calibri"/>
          <w:sz w:val="20"/>
          <w:szCs w:val="20"/>
        </w:rPr>
        <w:t xml:space="preserve">ommunity </w:t>
      </w:r>
      <w:r w:rsidR="00F52BE1">
        <w:rPr>
          <w:rFonts w:ascii="Calibri" w:eastAsia="Georgia" w:hAnsi="Calibri" w:cs="Calibri"/>
          <w:sz w:val="20"/>
          <w:szCs w:val="20"/>
        </w:rPr>
        <w:t>d</w:t>
      </w:r>
      <w:r w:rsidRPr="003C69BD">
        <w:rPr>
          <w:rFonts w:ascii="Calibri" w:eastAsia="Georgia" w:hAnsi="Calibri" w:cs="Calibri"/>
          <w:sz w:val="20"/>
          <w:szCs w:val="20"/>
        </w:rPr>
        <w:t xml:space="preserve">evelopment: A </w:t>
      </w:r>
      <w:r w:rsidR="00F52BE1">
        <w:rPr>
          <w:rFonts w:ascii="Calibri" w:eastAsia="Georgia" w:hAnsi="Calibri" w:cs="Calibri"/>
          <w:sz w:val="20"/>
          <w:szCs w:val="20"/>
        </w:rPr>
        <w:t>t</w:t>
      </w:r>
      <w:r w:rsidRPr="003C69BD">
        <w:rPr>
          <w:rFonts w:ascii="Calibri" w:eastAsia="Georgia" w:hAnsi="Calibri" w:cs="Calibri"/>
          <w:sz w:val="20"/>
          <w:szCs w:val="20"/>
        </w:rPr>
        <w:t xml:space="preserve">riple </w:t>
      </w:r>
      <w:r w:rsidR="00F52BE1">
        <w:rPr>
          <w:rFonts w:ascii="Calibri" w:eastAsia="Georgia" w:hAnsi="Calibri" w:cs="Calibri"/>
          <w:sz w:val="20"/>
          <w:szCs w:val="20"/>
        </w:rPr>
        <w:t>b</w:t>
      </w:r>
      <w:r w:rsidRPr="003C69BD">
        <w:rPr>
          <w:rFonts w:ascii="Calibri" w:eastAsia="Georgia" w:hAnsi="Calibri" w:cs="Calibri"/>
          <w:sz w:val="20"/>
          <w:szCs w:val="20"/>
        </w:rPr>
        <w:t xml:space="preserve">ottom </w:t>
      </w:r>
      <w:r w:rsidR="00F52BE1">
        <w:rPr>
          <w:rFonts w:ascii="Calibri" w:eastAsia="Georgia" w:hAnsi="Calibri" w:cs="Calibri"/>
          <w:sz w:val="20"/>
          <w:szCs w:val="20"/>
        </w:rPr>
        <w:t>l</w:t>
      </w:r>
      <w:r w:rsidRPr="003C69BD">
        <w:rPr>
          <w:rFonts w:ascii="Calibri" w:eastAsia="Georgia" w:hAnsi="Calibri" w:cs="Calibri"/>
          <w:sz w:val="20"/>
          <w:szCs w:val="20"/>
        </w:rPr>
        <w:t xml:space="preserve">ine </w:t>
      </w:r>
      <w:r w:rsidR="007F2357">
        <w:rPr>
          <w:rFonts w:ascii="Calibri" w:eastAsia="Georgia" w:hAnsi="Calibri" w:cs="Calibri"/>
          <w:sz w:val="20"/>
          <w:szCs w:val="20"/>
        </w:rPr>
        <w:t>a</w:t>
      </w:r>
      <w:r w:rsidRPr="003C69BD">
        <w:rPr>
          <w:rFonts w:ascii="Calibri" w:eastAsia="Georgia" w:hAnsi="Calibri" w:cs="Calibri"/>
          <w:sz w:val="20"/>
          <w:szCs w:val="20"/>
        </w:rPr>
        <w:t xml:space="preserve">pproach. </w:t>
      </w:r>
      <w:r w:rsidRPr="000D4895">
        <w:rPr>
          <w:rFonts w:ascii="Calibri" w:eastAsia="Georgia" w:hAnsi="Calibri" w:cs="Calibri"/>
          <w:i/>
          <w:sz w:val="20"/>
          <w:szCs w:val="20"/>
        </w:rPr>
        <w:t>Growth and Change</w:t>
      </w:r>
      <w:r w:rsidR="00F52BE1">
        <w:rPr>
          <w:rFonts w:ascii="Calibri" w:eastAsia="Georgia" w:hAnsi="Calibri" w:cs="Calibri"/>
          <w:sz w:val="20"/>
          <w:szCs w:val="20"/>
        </w:rPr>
        <w:t>,</w:t>
      </w:r>
      <w:r w:rsidRPr="00C40CD0">
        <w:rPr>
          <w:rFonts w:ascii="Calibri" w:eastAsia="Georgia" w:hAnsi="Calibri" w:cs="Calibri"/>
          <w:sz w:val="20"/>
          <w:szCs w:val="20"/>
        </w:rPr>
        <w:t xml:space="preserve"> </w:t>
      </w:r>
      <w:r w:rsidR="00C40CD0">
        <w:rPr>
          <w:rFonts w:ascii="Calibri" w:eastAsia="Georgia" w:hAnsi="Calibri" w:cs="Calibri"/>
          <w:sz w:val="20"/>
          <w:szCs w:val="20"/>
        </w:rPr>
        <w:t xml:space="preserve">46(3): </w:t>
      </w:r>
      <w:r w:rsidRPr="003C69BD">
        <w:rPr>
          <w:rFonts w:ascii="Calibri" w:eastAsia="Georgia" w:hAnsi="Calibri" w:cs="Calibri"/>
          <w:sz w:val="20"/>
          <w:szCs w:val="20"/>
        </w:rPr>
        <w:t xml:space="preserve">481-500. </w:t>
      </w:r>
    </w:p>
    <w:p w14:paraId="3FB820A1" w14:textId="77777777" w:rsidR="003C69BD" w:rsidRDefault="003C69BD">
      <w:pPr>
        <w:ind w:left="0" w:hanging="2"/>
      </w:pPr>
    </w:p>
    <w:p w14:paraId="3AB5E05A" w14:textId="77777777" w:rsidR="003C69BD" w:rsidRDefault="005F6EC4" w:rsidP="003C69BD">
      <w:pPr>
        <w:pStyle w:val="Heading1"/>
        <w:ind w:leftChars="0" w:left="1" w:firstLineChars="0" w:firstLine="0"/>
      </w:pPr>
      <w:r>
        <w:lastRenderedPageBreak/>
        <w:t xml:space="preserve"> </w:t>
      </w:r>
    </w:p>
    <w:p w14:paraId="65F8DBB5" w14:textId="6E6CBCE7" w:rsidR="008020AB" w:rsidRDefault="005F6EC4" w:rsidP="00D24993">
      <w:pPr>
        <w:pStyle w:val="Heading1"/>
        <w:numPr>
          <w:ilvl w:val="0"/>
          <w:numId w:val="1"/>
        </w:numPr>
        <w:spacing w:before="0"/>
        <w:ind w:leftChars="0" w:left="3" w:hanging="3"/>
      </w:pPr>
      <w:r>
        <w:t xml:space="preserve">VITA </w:t>
      </w:r>
      <w:r>
        <w:rPr>
          <w:i/>
        </w:rPr>
        <w:t>(limit 2 page per person)</w:t>
      </w:r>
    </w:p>
    <w:p w14:paraId="415BC3FD" w14:textId="6298F084" w:rsidR="003A2769" w:rsidRDefault="003A2769">
      <w:pPr>
        <w:ind w:left="0" w:hanging="2"/>
        <w:rPr>
          <w:i/>
        </w:rPr>
      </w:pPr>
    </w:p>
    <w:p w14:paraId="30F0ED44" w14:textId="77777777" w:rsidR="003A2769" w:rsidRPr="003A2769" w:rsidRDefault="003A2769" w:rsidP="003A2769">
      <w:pPr>
        <w:spacing w:after="0" w:line="240" w:lineRule="auto"/>
        <w:ind w:left="1" w:hanging="3"/>
        <w:jc w:val="center"/>
        <w:rPr>
          <w:rFonts w:ascii="Calibri" w:hAnsi="Calibri"/>
          <w:b/>
          <w:sz w:val="28"/>
          <w:szCs w:val="28"/>
        </w:rPr>
      </w:pPr>
      <w:r w:rsidRPr="003A2769">
        <w:rPr>
          <w:rFonts w:ascii="Calibri" w:hAnsi="Calibri"/>
          <w:b/>
          <w:sz w:val="28"/>
          <w:szCs w:val="28"/>
        </w:rPr>
        <w:t>Danya Lee Rumore</w:t>
      </w:r>
    </w:p>
    <w:p w14:paraId="25CB0AAB" w14:textId="77777777" w:rsidR="003A2769" w:rsidRPr="003A2769" w:rsidRDefault="003A2769" w:rsidP="003A2769">
      <w:pPr>
        <w:spacing w:after="0" w:line="240" w:lineRule="auto"/>
        <w:ind w:left="1" w:hanging="3"/>
        <w:jc w:val="center"/>
        <w:rPr>
          <w:rFonts w:ascii="Calibri" w:hAnsi="Calibri"/>
          <w:b/>
          <w:sz w:val="28"/>
          <w:szCs w:val="28"/>
        </w:rPr>
      </w:pPr>
      <w:r w:rsidRPr="003A2769">
        <w:rPr>
          <w:rFonts w:ascii="Calibri" w:hAnsi="Calibri"/>
          <w:b/>
          <w:sz w:val="28"/>
          <w:szCs w:val="28"/>
        </w:rPr>
        <w:t>University of Utah</w:t>
      </w:r>
    </w:p>
    <w:p w14:paraId="7965081A" w14:textId="77777777" w:rsidR="003A2769" w:rsidRPr="003A2769" w:rsidRDefault="003A2769" w:rsidP="003A2769">
      <w:pPr>
        <w:pStyle w:val="Heading2"/>
        <w:spacing w:before="0" w:line="240" w:lineRule="auto"/>
        <w:ind w:left="0" w:hanging="2"/>
        <w:jc w:val="both"/>
        <w:rPr>
          <w:rFonts w:ascii="Calibri" w:hAnsi="Calibri"/>
          <w:sz w:val="22"/>
          <w:szCs w:val="22"/>
        </w:rPr>
      </w:pPr>
    </w:p>
    <w:p w14:paraId="33F4C050" w14:textId="77777777" w:rsidR="003A2769" w:rsidRPr="003A2769" w:rsidRDefault="003A2769" w:rsidP="003A2769">
      <w:pPr>
        <w:pStyle w:val="Heading2"/>
        <w:spacing w:before="0" w:line="240" w:lineRule="auto"/>
        <w:ind w:left="0" w:hanging="2"/>
        <w:jc w:val="both"/>
        <w:rPr>
          <w:rFonts w:ascii="Calibri" w:hAnsi="Calibri"/>
          <w:b/>
          <w:i/>
          <w:sz w:val="22"/>
          <w:szCs w:val="22"/>
        </w:rPr>
      </w:pPr>
      <w:r w:rsidRPr="003A2769">
        <w:rPr>
          <w:rFonts w:ascii="Calibri" w:hAnsi="Calibri"/>
          <w:b/>
          <w:sz w:val="22"/>
          <w:szCs w:val="22"/>
        </w:rPr>
        <w:t>A. Professional Preparation</w:t>
      </w:r>
    </w:p>
    <w:p w14:paraId="4F828212" w14:textId="49BA04D3" w:rsidR="003A2769" w:rsidRPr="003A2769" w:rsidRDefault="003A2769" w:rsidP="003A2769">
      <w:pPr>
        <w:autoSpaceDE w:val="0"/>
        <w:autoSpaceDN w:val="0"/>
        <w:adjustRightInd w:val="0"/>
        <w:spacing w:after="0" w:line="240" w:lineRule="auto"/>
        <w:ind w:left="0" w:hanging="2"/>
        <w:rPr>
          <w:rFonts w:ascii="Calibri" w:hAnsi="Calibri"/>
          <w:sz w:val="22"/>
          <w:szCs w:val="22"/>
        </w:rPr>
      </w:pPr>
      <w:r w:rsidRPr="003A2769">
        <w:rPr>
          <w:rFonts w:ascii="Calibri" w:hAnsi="Calibri"/>
          <w:sz w:val="22"/>
          <w:szCs w:val="22"/>
        </w:rPr>
        <w:t xml:space="preserve">Oregon State University                   Environmental Science &amp; Natural Resources Economics    B.S.  </w:t>
      </w:r>
      <w:r w:rsidRPr="003A2769">
        <w:rPr>
          <w:rFonts w:ascii="Calibri" w:hAnsi="Calibri"/>
          <w:sz w:val="22"/>
          <w:szCs w:val="22"/>
        </w:rPr>
        <w:tab/>
        <w:t>2007</w:t>
      </w:r>
    </w:p>
    <w:p w14:paraId="5CC4D18A" w14:textId="56E78CA1" w:rsidR="003A2769" w:rsidRPr="003A2769" w:rsidRDefault="003A2769" w:rsidP="003A2769">
      <w:pPr>
        <w:autoSpaceDE w:val="0"/>
        <w:autoSpaceDN w:val="0"/>
        <w:adjustRightInd w:val="0"/>
        <w:spacing w:after="0" w:line="240" w:lineRule="auto"/>
        <w:ind w:left="0" w:hanging="2"/>
        <w:rPr>
          <w:rFonts w:ascii="Calibri" w:hAnsi="Calibri"/>
          <w:sz w:val="22"/>
          <w:szCs w:val="22"/>
        </w:rPr>
      </w:pPr>
      <w:r w:rsidRPr="003A2769">
        <w:rPr>
          <w:rFonts w:ascii="Calibri" w:hAnsi="Calibri"/>
          <w:sz w:val="22"/>
          <w:szCs w:val="22"/>
        </w:rPr>
        <w:t xml:space="preserve">University of Auckland, New Zealand </w:t>
      </w:r>
      <w:r w:rsidRPr="003A2769">
        <w:rPr>
          <w:rFonts w:ascii="Calibri" w:hAnsi="Calibri"/>
          <w:sz w:val="22"/>
          <w:szCs w:val="22"/>
        </w:rPr>
        <w:tab/>
        <w:t xml:space="preserve">          Environmental Management &amp; Geography</w:t>
      </w:r>
      <w:r w:rsidRPr="003A2769">
        <w:rPr>
          <w:rFonts w:ascii="Calibri" w:hAnsi="Calibri"/>
          <w:sz w:val="22"/>
          <w:szCs w:val="22"/>
        </w:rPr>
        <w:tab/>
        <w:t xml:space="preserve">    M.Sc.</w:t>
      </w:r>
      <w:r w:rsidRPr="003A2769">
        <w:rPr>
          <w:rFonts w:ascii="Calibri" w:hAnsi="Calibri"/>
          <w:sz w:val="22"/>
          <w:szCs w:val="22"/>
        </w:rPr>
        <w:tab/>
        <w:t>2010</w:t>
      </w:r>
    </w:p>
    <w:p w14:paraId="05A795A5" w14:textId="5A658671" w:rsidR="003A2769" w:rsidRPr="003A2769" w:rsidRDefault="003A2769" w:rsidP="003A2769">
      <w:pPr>
        <w:autoSpaceDE w:val="0"/>
        <w:autoSpaceDN w:val="0"/>
        <w:adjustRightInd w:val="0"/>
        <w:spacing w:after="0" w:line="240" w:lineRule="auto"/>
        <w:ind w:left="0" w:hanging="2"/>
        <w:rPr>
          <w:rFonts w:ascii="Calibri" w:hAnsi="Calibri"/>
          <w:sz w:val="22"/>
          <w:szCs w:val="22"/>
        </w:rPr>
      </w:pPr>
      <w:r w:rsidRPr="003A2769">
        <w:rPr>
          <w:rFonts w:ascii="Calibri" w:hAnsi="Calibri"/>
          <w:sz w:val="22"/>
          <w:szCs w:val="22"/>
        </w:rPr>
        <w:t xml:space="preserve">Massachusetts Institute of Technology </w:t>
      </w:r>
      <w:r w:rsidRPr="003A2769">
        <w:rPr>
          <w:rFonts w:ascii="Calibri" w:hAnsi="Calibri"/>
          <w:sz w:val="22"/>
          <w:szCs w:val="22"/>
        </w:rPr>
        <w:tab/>
      </w:r>
      <w:r w:rsidRPr="003A2769">
        <w:rPr>
          <w:rFonts w:ascii="Calibri" w:hAnsi="Calibri"/>
          <w:sz w:val="22"/>
          <w:szCs w:val="22"/>
        </w:rPr>
        <w:tab/>
        <w:t xml:space="preserve">             Environmental Policy &amp; Planning</w:t>
      </w:r>
      <w:r w:rsidRPr="003A2769">
        <w:rPr>
          <w:rFonts w:ascii="Calibri" w:hAnsi="Calibri"/>
          <w:sz w:val="22"/>
          <w:szCs w:val="22"/>
        </w:rPr>
        <w:tab/>
        <w:t xml:space="preserve">   Ph.D. </w:t>
      </w:r>
      <w:r w:rsidRPr="003A2769">
        <w:rPr>
          <w:rFonts w:ascii="Calibri" w:hAnsi="Calibri"/>
          <w:sz w:val="22"/>
          <w:szCs w:val="22"/>
        </w:rPr>
        <w:tab/>
        <w:t>2015</w:t>
      </w:r>
    </w:p>
    <w:p w14:paraId="440A2BB2" w14:textId="77777777" w:rsidR="003A2769" w:rsidRPr="003A2769" w:rsidRDefault="003A2769" w:rsidP="003A2769">
      <w:pPr>
        <w:pStyle w:val="Heading2"/>
        <w:spacing w:before="0" w:line="240" w:lineRule="auto"/>
        <w:ind w:left="0" w:hanging="2"/>
        <w:jc w:val="both"/>
        <w:rPr>
          <w:rFonts w:ascii="Calibri" w:hAnsi="Calibri"/>
          <w:b/>
          <w:sz w:val="22"/>
          <w:szCs w:val="22"/>
        </w:rPr>
      </w:pPr>
    </w:p>
    <w:p w14:paraId="09248DBF" w14:textId="5C946597" w:rsidR="003A2769" w:rsidRPr="003A2769" w:rsidRDefault="003A2769" w:rsidP="003A2769">
      <w:pPr>
        <w:pStyle w:val="Heading2"/>
        <w:spacing w:before="0" w:line="240" w:lineRule="auto"/>
        <w:ind w:left="0" w:hanging="2"/>
        <w:jc w:val="both"/>
        <w:rPr>
          <w:rFonts w:ascii="Calibri" w:hAnsi="Calibri"/>
          <w:b/>
          <w:i/>
          <w:sz w:val="22"/>
          <w:szCs w:val="22"/>
        </w:rPr>
      </w:pPr>
      <w:r w:rsidRPr="003A2769">
        <w:rPr>
          <w:rFonts w:ascii="Calibri" w:hAnsi="Calibri"/>
          <w:b/>
          <w:sz w:val="22"/>
          <w:szCs w:val="22"/>
        </w:rPr>
        <w:t>B. Appointments</w:t>
      </w:r>
    </w:p>
    <w:p w14:paraId="5A5E91B5"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2020-present</w:t>
      </w:r>
      <w:r w:rsidRPr="003A2769">
        <w:rPr>
          <w:rFonts w:ascii="Calibri" w:hAnsi="Calibri"/>
          <w:sz w:val="22"/>
          <w:szCs w:val="22"/>
        </w:rPr>
        <w:tab/>
        <w:t>Adjunct, Institute for Outdoor Recreation and Tourism, Utah State University</w:t>
      </w:r>
    </w:p>
    <w:p w14:paraId="7908A4DE"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2015-present</w:t>
      </w:r>
      <w:r w:rsidRPr="003A2769">
        <w:rPr>
          <w:rFonts w:ascii="Calibri" w:hAnsi="Calibri"/>
          <w:sz w:val="22"/>
          <w:szCs w:val="22"/>
        </w:rPr>
        <w:tab/>
        <w:t>Associate/Assistant Professor (Research), College of Law, University of Utah</w:t>
      </w:r>
    </w:p>
    <w:p w14:paraId="5BA9C9DD"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2015-present</w:t>
      </w:r>
      <w:r w:rsidRPr="003A2769">
        <w:rPr>
          <w:rFonts w:ascii="Calibri" w:hAnsi="Calibri"/>
          <w:sz w:val="22"/>
          <w:szCs w:val="22"/>
        </w:rPr>
        <w:tab/>
        <w:t>Assistant Professor (Research), City and Metropolitan Planning Department, University of Utah</w:t>
      </w:r>
    </w:p>
    <w:p w14:paraId="1BB20ECF"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2015-present</w:t>
      </w:r>
      <w:r w:rsidRPr="003A2769">
        <w:rPr>
          <w:rFonts w:ascii="Calibri" w:hAnsi="Calibri"/>
          <w:sz w:val="22"/>
          <w:szCs w:val="22"/>
        </w:rPr>
        <w:tab/>
        <w:t>Director/Associate Director, Environmental Dispute Resolution Program, University of Utah</w:t>
      </w:r>
    </w:p>
    <w:p w14:paraId="18EEE7C7"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2012-2015</w:t>
      </w:r>
      <w:r w:rsidRPr="003A2769">
        <w:rPr>
          <w:rFonts w:ascii="Calibri" w:hAnsi="Calibri"/>
          <w:sz w:val="22"/>
          <w:szCs w:val="22"/>
        </w:rPr>
        <w:tab/>
        <w:t>Assistant Director, MIT Science Impact Collaborative, Massachusetts Institute of Technology</w:t>
      </w:r>
    </w:p>
    <w:p w14:paraId="203E8933"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2013-2015</w:t>
      </w:r>
      <w:r w:rsidRPr="003A2769">
        <w:rPr>
          <w:rFonts w:ascii="Calibri" w:hAnsi="Calibri"/>
          <w:sz w:val="22"/>
          <w:szCs w:val="22"/>
        </w:rPr>
        <w:tab/>
        <w:t>Associate, Consensus Building Institute</w:t>
      </w:r>
    </w:p>
    <w:p w14:paraId="1A221D15"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2012-2015</w:t>
      </w:r>
      <w:r w:rsidRPr="003A2769">
        <w:rPr>
          <w:rFonts w:ascii="Calibri" w:hAnsi="Calibri"/>
          <w:sz w:val="22"/>
          <w:szCs w:val="22"/>
        </w:rPr>
        <w:tab/>
        <w:t>Project Manager and Research Lead, New England Climate Adaptation Project</w:t>
      </w:r>
    </w:p>
    <w:p w14:paraId="29C260E8"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2009-2010</w:t>
      </w:r>
      <w:r w:rsidRPr="003A2769">
        <w:rPr>
          <w:rFonts w:ascii="Calibri" w:hAnsi="Calibri"/>
          <w:sz w:val="22"/>
          <w:szCs w:val="22"/>
        </w:rPr>
        <w:tab/>
        <w:t>Research Fellow, New Zealand Centre for Sustainable Cities</w:t>
      </w:r>
    </w:p>
    <w:p w14:paraId="210C798D" w14:textId="77777777" w:rsidR="003A2769" w:rsidRPr="003A2769" w:rsidRDefault="003A2769" w:rsidP="003A2769">
      <w:pPr>
        <w:tabs>
          <w:tab w:val="left" w:pos="2070"/>
        </w:tabs>
        <w:autoSpaceDE w:val="0"/>
        <w:autoSpaceDN w:val="0"/>
        <w:adjustRightInd w:val="0"/>
        <w:spacing w:after="0" w:line="240" w:lineRule="auto"/>
        <w:ind w:left="2430" w:firstLineChars="0" w:hanging="2432"/>
        <w:rPr>
          <w:rFonts w:ascii="Calibri" w:hAnsi="Calibri"/>
          <w:sz w:val="22"/>
          <w:szCs w:val="22"/>
        </w:rPr>
      </w:pPr>
      <w:r w:rsidRPr="003A2769">
        <w:rPr>
          <w:rFonts w:ascii="Calibri" w:hAnsi="Calibri"/>
          <w:sz w:val="22"/>
          <w:szCs w:val="22"/>
        </w:rPr>
        <w:t>2008-2009</w:t>
      </w:r>
      <w:r w:rsidRPr="003A2769">
        <w:rPr>
          <w:rFonts w:ascii="Calibri" w:hAnsi="Calibri"/>
          <w:sz w:val="22"/>
          <w:szCs w:val="22"/>
        </w:rPr>
        <w:tab/>
        <w:t>Fulbright Fellow to New Zealand, U.S. Department of State</w:t>
      </w:r>
    </w:p>
    <w:p w14:paraId="4A37C4C6" w14:textId="77777777" w:rsidR="003A2769" w:rsidRPr="003A2769" w:rsidRDefault="003A2769" w:rsidP="003A2769">
      <w:pPr>
        <w:pStyle w:val="Heading2"/>
        <w:spacing w:before="0" w:line="240" w:lineRule="auto"/>
        <w:ind w:left="0" w:hanging="2"/>
        <w:jc w:val="both"/>
        <w:rPr>
          <w:rFonts w:ascii="Calibri" w:hAnsi="Calibri"/>
          <w:b/>
          <w:sz w:val="22"/>
          <w:szCs w:val="22"/>
        </w:rPr>
      </w:pPr>
    </w:p>
    <w:p w14:paraId="73563D4E" w14:textId="2CDD6183" w:rsidR="003A2769" w:rsidRPr="00244127" w:rsidRDefault="003A2769" w:rsidP="00244127">
      <w:pPr>
        <w:pStyle w:val="Heading2"/>
        <w:spacing w:before="0" w:line="240" w:lineRule="auto"/>
        <w:ind w:left="0" w:hanging="2"/>
        <w:jc w:val="both"/>
        <w:rPr>
          <w:rFonts w:ascii="Calibri" w:hAnsi="Calibri"/>
          <w:b/>
          <w:i/>
          <w:sz w:val="22"/>
          <w:szCs w:val="22"/>
        </w:rPr>
      </w:pPr>
      <w:r w:rsidRPr="003A2769">
        <w:rPr>
          <w:rFonts w:ascii="Calibri" w:hAnsi="Calibri"/>
          <w:b/>
          <w:sz w:val="22"/>
          <w:szCs w:val="22"/>
        </w:rPr>
        <w:t xml:space="preserve">C. Products </w:t>
      </w:r>
    </w:p>
    <w:p w14:paraId="6F1A3AE1" w14:textId="2C91064A" w:rsidR="003A2769" w:rsidRPr="003A2769" w:rsidRDefault="003A2769" w:rsidP="00244127">
      <w:pPr>
        <w:pStyle w:val="Heading1"/>
        <w:spacing w:before="120" w:line="240" w:lineRule="auto"/>
        <w:ind w:leftChars="0" w:left="2" w:hanging="2"/>
        <w:jc w:val="both"/>
        <w:rPr>
          <w:rFonts w:ascii="Calibri" w:hAnsi="Calibri"/>
          <w:b/>
          <w:sz w:val="22"/>
          <w:szCs w:val="22"/>
        </w:rPr>
      </w:pPr>
      <w:r w:rsidRPr="003A2769">
        <w:rPr>
          <w:rFonts w:ascii="Calibri" w:hAnsi="Calibri"/>
          <w:b/>
          <w:sz w:val="22"/>
          <w:szCs w:val="22"/>
        </w:rPr>
        <w:t xml:space="preserve">Related </w:t>
      </w:r>
      <w:r w:rsidR="00B94919">
        <w:rPr>
          <w:rFonts w:ascii="Calibri" w:hAnsi="Calibri"/>
          <w:b/>
          <w:sz w:val="22"/>
          <w:szCs w:val="22"/>
        </w:rPr>
        <w:t xml:space="preserve">to </w:t>
      </w:r>
      <w:r w:rsidRPr="003A2769">
        <w:rPr>
          <w:rFonts w:ascii="Calibri" w:hAnsi="Calibri"/>
          <w:b/>
          <w:sz w:val="22"/>
          <w:szCs w:val="22"/>
        </w:rPr>
        <w:t>pro</w:t>
      </w:r>
      <w:r w:rsidR="00B94919">
        <w:rPr>
          <w:rFonts w:ascii="Calibri" w:hAnsi="Calibri"/>
          <w:b/>
          <w:sz w:val="22"/>
          <w:szCs w:val="22"/>
        </w:rPr>
        <w:t>ject</w:t>
      </w:r>
      <w:r w:rsidRPr="003A2769">
        <w:rPr>
          <w:rFonts w:ascii="Calibri" w:hAnsi="Calibri"/>
          <w:b/>
          <w:sz w:val="22"/>
          <w:szCs w:val="22"/>
        </w:rPr>
        <w:t>:</w:t>
      </w:r>
    </w:p>
    <w:p w14:paraId="481F5F17" w14:textId="41192A66" w:rsidR="00C63A0D" w:rsidRDefault="003A2769" w:rsidP="00C63A0D">
      <w:pPr>
        <w:pStyle w:val="BodyText"/>
        <w:numPr>
          <w:ilvl w:val="0"/>
          <w:numId w:val="20"/>
        </w:numPr>
        <w:ind w:right="461"/>
        <w:textDirection w:val="btLr"/>
        <w:rPr>
          <w:rFonts w:ascii="Calibri" w:eastAsia="Cambria" w:hAnsi="Calibri"/>
          <w:sz w:val="22"/>
          <w:szCs w:val="22"/>
        </w:rPr>
      </w:pPr>
      <w:r w:rsidRPr="003A2769">
        <w:rPr>
          <w:rFonts w:ascii="Calibri" w:eastAsia="Cambria" w:hAnsi="Calibri"/>
          <w:sz w:val="22"/>
          <w:szCs w:val="22"/>
        </w:rPr>
        <w:t xml:space="preserve">Stoker, P., D. Rumore, L. </w:t>
      </w:r>
      <w:proofErr w:type="spellStart"/>
      <w:r w:rsidRPr="003A2769">
        <w:rPr>
          <w:rFonts w:ascii="Calibri" w:eastAsia="Cambria" w:hAnsi="Calibri"/>
          <w:sz w:val="22"/>
          <w:szCs w:val="22"/>
        </w:rPr>
        <w:t>Romaniello</w:t>
      </w:r>
      <w:proofErr w:type="spellEnd"/>
      <w:r w:rsidRPr="003A2769">
        <w:rPr>
          <w:rFonts w:ascii="Calibri" w:eastAsia="Cambria" w:hAnsi="Calibri"/>
          <w:sz w:val="22"/>
          <w:szCs w:val="22"/>
        </w:rPr>
        <w:t>, and Z. Levine</w:t>
      </w:r>
      <w:r w:rsidR="00EC3BCC">
        <w:rPr>
          <w:rFonts w:ascii="Calibri" w:eastAsia="Cambria" w:hAnsi="Calibri"/>
          <w:sz w:val="22"/>
          <w:szCs w:val="22"/>
        </w:rPr>
        <w:t>.</w:t>
      </w:r>
      <w:r w:rsidRPr="003A2769">
        <w:rPr>
          <w:rFonts w:ascii="Calibri" w:eastAsia="Cambria" w:hAnsi="Calibri"/>
          <w:sz w:val="22"/>
          <w:szCs w:val="22"/>
        </w:rPr>
        <w:t xml:space="preserve"> (2021) Planning and development challenges in western gateway communities. Journal of the American Planning Association, 87(1): 21-33</w:t>
      </w:r>
    </w:p>
    <w:p w14:paraId="61CCA425" w14:textId="37299964" w:rsidR="00C63A0D" w:rsidRPr="00C63A0D" w:rsidRDefault="00C63A0D" w:rsidP="00C63A0D">
      <w:pPr>
        <w:pStyle w:val="BodyText"/>
        <w:numPr>
          <w:ilvl w:val="0"/>
          <w:numId w:val="20"/>
        </w:numPr>
        <w:ind w:right="461"/>
        <w:textDirection w:val="btLr"/>
        <w:rPr>
          <w:rFonts w:ascii="Calibri" w:eastAsia="Cambria" w:hAnsi="Calibri"/>
          <w:sz w:val="22"/>
          <w:szCs w:val="22"/>
        </w:rPr>
      </w:pPr>
      <w:r w:rsidRPr="00C63A0D">
        <w:rPr>
          <w:rFonts w:ascii="Calibri" w:hAnsi="Calibri"/>
          <w:sz w:val="22"/>
        </w:rPr>
        <w:t xml:space="preserve">Rumore, D., J. Smith, J. Powell, P. Stoker, L. </w:t>
      </w:r>
      <w:proofErr w:type="spellStart"/>
      <w:r w:rsidRPr="00C63A0D">
        <w:rPr>
          <w:rFonts w:ascii="Calibri" w:hAnsi="Calibri"/>
          <w:sz w:val="22"/>
        </w:rPr>
        <w:t>Romaniello</w:t>
      </w:r>
      <w:proofErr w:type="spellEnd"/>
      <w:r w:rsidRPr="00C63A0D">
        <w:rPr>
          <w:rFonts w:ascii="Calibri" w:hAnsi="Calibri"/>
          <w:sz w:val="22"/>
        </w:rPr>
        <w:t xml:space="preserve">, Z. Miller, B. </w:t>
      </w:r>
      <w:proofErr w:type="spellStart"/>
      <w:r w:rsidRPr="00C63A0D">
        <w:rPr>
          <w:rFonts w:ascii="Calibri" w:hAnsi="Calibri"/>
          <w:sz w:val="22"/>
        </w:rPr>
        <w:t>Adini</w:t>
      </w:r>
      <w:proofErr w:type="spellEnd"/>
      <w:r w:rsidRPr="00C63A0D">
        <w:rPr>
          <w:rFonts w:ascii="Calibri" w:hAnsi="Calibri"/>
          <w:sz w:val="22"/>
        </w:rPr>
        <w:t xml:space="preserve">, I. Hui, C. Flint, </w:t>
      </w:r>
      <w:r w:rsidR="001F0E12">
        <w:rPr>
          <w:rFonts w:ascii="Calibri" w:hAnsi="Calibri"/>
          <w:sz w:val="22"/>
        </w:rPr>
        <w:t xml:space="preserve">and </w:t>
      </w:r>
      <w:r w:rsidRPr="00C63A0D">
        <w:rPr>
          <w:rFonts w:ascii="Calibri" w:hAnsi="Calibri"/>
          <w:sz w:val="22"/>
        </w:rPr>
        <w:t>D. Albrecht</w:t>
      </w:r>
      <w:r w:rsidR="00287E28">
        <w:rPr>
          <w:rFonts w:ascii="Calibri" w:hAnsi="Calibri"/>
          <w:sz w:val="22"/>
        </w:rPr>
        <w:t>.</w:t>
      </w:r>
      <w:r w:rsidRPr="00C63A0D">
        <w:rPr>
          <w:rFonts w:ascii="Calibri" w:hAnsi="Calibri"/>
          <w:sz w:val="22"/>
        </w:rPr>
        <w:t xml:space="preserve"> (2020) Research-agenda setting paper: </w:t>
      </w:r>
      <w:r>
        <w:rPr>
          <w:rFonts w:ascii="Calibri" w:hAnsi="Calibri"/>
          <w:sz w:val="22"/>
        </w:rPr>
        <w:t>g</w:t>
      </w:r>
      <w:r w:rsidRPr="00C63A0D">
        <w:rPr>
          <w:rFonts w:ascii="Calibri" w:hAnsi="Calibri"/>
          <w:sz w:val="22"/>
        </w:rPr>
        <w:t xml:space="preserve">ateway communities and the </w:t>
      </w:r>
      <w:r>
        <w:rPr>
          <w:rFonts w:ascii="Calibri" w:hAnsi="Calibri"/>
          <w:sz w:val="22"/>
        </w:rPr>
        <w:t>i</w:t>
      </w:r>
      <w:r w:rsidRPr="00C63A0D">
        <w:rPr>
          <w:rFonts w:ascii="Calibri" w:hAnsi="Calibri"/>
          <w:sz w:val="22"/>
        </w:rPr>
        <w:t>mpacts of COVID-19. CONVERGE COVID-19 Working Groups for Public Health and Social Sciences Research, National Science Foundation.</w:t>
      </w:r>
    </w:p>
    <w:p w14:paraId="4FB6804A" w14:textId="64FE9620" w:rsidR="003A2769" w:rsidRPr="003A2769" w:rsidRDefault="003A2769" w:rsidP="003A2769">
      <w:pPr>
        <w:pStyle w:val="ListParagraph"/>
        <w:numPr>
          <w:ilvl w:val="0"/>
          <w:numId w:val="20"/>
        </w:numPr>
        <w:suppressAutoHyphens w:val="0"/>
        <w:spacing w:after="0" w:line="240" w:lineRule="auto"/>
        <w:ind w:leftChars="0" w:firstLineChars="0"/>
        <w:textDirection w:val="lrTb"/>
        <w:textAlignment w:val="auto"/>
        <w:outlineLvl w:val="9"/>
        <w:rPr>
          <w:rFonts w:ascii="Calibri" w:hAnsi="Calibri"/>
          <w:sz w:val="22"/>
          <w:szCs w:val="22"/>
        </w:rPr>
      </w:pPr>
      <w:r w:rsidRPr="003A2769">
        <w:rPr>
          <w:rFonts w:ascii="Calibri" w:hAnsi="Calibri"/>
          <w:sz w:val="22"/>
          <w:szCs w:val="22"/>
        </w:rPr>
        <w:t xml:space="preserve">Rumore, D., P. Stoker, Z. Levine, and L. </w:t>
      </w:r>
      <w:proofErr w:type="spellStart"/>
      <w:r w:rsidRPr="003A2769">
        <w:rPr>
          <w:rFonts w:ascii="Calibri" w:hAnsi="Calibri"/>
          <w:sz w:val="22"/>
          <w:szCs w:val="22"/>
        </w:rPr>
        <w:t>Romaniello</w:t>
      </w:r>
      <w:proofErr w:type="spellEnd"/>
      <w:r w:rsidR="00287E28">
        <w:rPr>
          <w:rFonts w:ascii="Calibri" w:hAnsi="Calibri"/>
          <w:sz w:val="22"/>
          <w:szCs w:val="22"/>
        </w:rPr>
        <w:t>.</w:t>
      </w:r>
      <w:r w:rsidRPr="003A2769">
        <w:rPr>
          <w:rFonts w:ascii="Calibri" w:hAnsi="Calibri"/>
          <w:sz w:val="22"/>
          <w:szCs w:val="22"/>
        </w:rPr>
        <w:t xml:space="preserve"> (2019)</w:t>
      </w:r>
      <w:r w:rsidR="00AB4247">
        <w:rPr>
          <w:rFonts w:ascii="Calibri" w:hAnsi="Calibri"/>
          <w:sz w:val="22"/>
          <w:szCs w:val="22"/>
        </w:rPr>
        <w:t>.</w:t>
      </w:r>
      <w:r w:rsidRPr="003A2769">
        <w:rPr>
          <w:rFonts w:ascii="Calibri" w:hAnsi="Calibri"/>
          <w:sz w:val="22"/>
          <w:szCs w:val="22"/>
        </w:rPr>
        <w:t xml:space="preserve"> </w:t>
      </w:r>
      <w:r w:rsidRPr="000D4895">
        <w:rPr>
          <w:rFonts w:ascii="Calibri" w:hAnsi="Calibri"/>
          <w:i/>
          <w:sz w:val="22"/>
          <w:szCs w:val="22"/>
        </w:rPr>
        <w:t>Planning in gateway and natural amenity region communities: understanding the unique challenges associated with transportation, mobility, and livability</w:t>
      </w:r>
      <w:r w:rsidRPr="003A2769">
        <w:rPr>
          <w:rFonts w:ascii="Calibri" w:hAnsi="Calibri"/>
          <w:i/>
          <w:iCs/>
          <w:sz w:val="22"/>
          <w:szCs w:val="22"/>
        </w:rPr>
        <w:t xml:space="preserve">. </w:t>
      </w:r>
      <w:r w:rsidRPr="003A2769">
        <w:rPr>
          <w:rFonts w:ascii="Calibri" w:hAnsi="Calibri"/>
          <w:sz w:val="22"/>
          <w:szCs w:val="22"/>
        </w:rPr>
        <w:t>NITC-RR-1118. Portland, OR: Transportation Research and Education Center (TREC).</w:t>
      </w:r>
    </w:p>
    <w:p w14:paraId="011D2181" w14:textId="2888F652" w:rsidR="003A2769" w:rsidRPr="003A2769" w:rsidRDefault="003A2769" w:rsidP="003A2769">
      <w:pPr>
        <w:pStyle w:val="ListParagraph"/>
        <w:numPr>
          <w:ilvl w:val="0"/>
          <w:numId w:val="20"/>
        </w:numPr>
        <w:suppressAutoHyphens w:val="0"/>
        <w:spacing w:after="0" w:line="240" w:lineRule="auto"/>
        <w:ind w:leftChars="0" w:firstLineChars="0"/>
        <w:textDirection w:val="lrTb"/>
        <w:textAlignment w:val="auto"/>
        <w:outlineLvl w:val="9"/>
        <w:rPr>
          <w:rFonts w:ascii="Calibri" w:hAnsi="Calibri"/>
          <w:sz w:val="22"/>
          <w:szCs w:val="22"/>
        </w:rPr>
      </w:pPr>
      <w:r w:rsidRPr="003A2769">
        <w:rPr>
          <w:rFonts w:ascii="Calibri" w:hAnsi="Calibri"/>
          <w:sz w:val="22"/>
          <w:szCs w:val="22"/>
        </w:rPr>
        <w:t>Rumore, D. and K. Daly</w:t>
      </w:r>
      <w:r w:rsidR="00287E28">
        <w:rPr>
          <w:rFonts w:ascii="Calibri" w:hAnsi="Calibri"/>
          <w:sz w:val="22"/>
          <w:szCs w:val="22"/>
        </w:rPr>
        <w:t>.</w:t>
      </w:r>
      <w:r w:rsidRPr="003A2769">
        <w:rPr>
          <w:rFonts w:ascii="Calibri" w:hAnsi="Calibri"/>
          <w:sz w:val="22"/>
          <w:szCs w:val="22"/>
        </w:rPr>
        <w:t xml:space="preserve"> (2016) Situation </w:t>
      </w:r>
      <w:r w:rsidR="00C63A0D">
        <w:rPr>
          <w:rFonts w:ascii="Calibri" w:hAnsi="Calibri"/>
          <w:sz w:val="22"/>
          <w:szCs w:val="22"/>
        </w:rPr>
        <w:t>a</w:t>
      </w:r>
      <w:r w:rsidRPr="003A2769">
        <w:rPr>
          <w:rFonts w:ascii="Calibri" w:hAnsi="Calibri"/>
          <w:sz w:val="22"/>
          <w:szCs w:val="22"/>
        </w:rPr>
        <w:t xml:space="preserve">ssessment: </w:t>
      </w:r>
      <w:r w:rsidR="00C63A0D">
        <w:rPr>
          <w:rFonts w:ascii="Calibri" w:hAnsi="Calibri"/>
          <w:sz w:val="22"/>
          <w:szCs w:val="22"/>
        </w:rPr>
        <w:t>pl</w:t>
      </w:r>
      <w:r w:rsidRPr="003A2769">
        <w:rPr>
          <w:rFonts w:ascii="Calibri" w:hAnsi="Calibri"/>
          <w:sz w:val="22"/>
          <w:szCs w:val="22"/>
        </w:rPr>
        <w:t xml:space="preserve">anning, </w:t>
      </w:r>
      <w:r w:rsidR="00C63A0D">
        <w:rPr>
          <w:rFonts w:ascii="Calibri" w:hAnsi="Calibri"/>
          <w:sz w:val="22"/>
          <w:szCs w:val="22"/>
        </w:rPr>
        <w:t>l</w:t>
      </w:r>
      <w:r w:rsidRPr="003A2769">
        <w:rPr>
          <w:rFonts w:ascii="Calibri" w:hAnsi="Calibri"/>
          <w:sz w:val="22"/>
          <w:szCs w:val="22"/>
        </w:rPr>
        <w:t xml:space="preserve">and </w:t>
      </w:r>
      <w:r w:rsidR="00C63A0D">
        <w:rPr>
          <w:rFonts w:ascii="Calibri" w:hAnsi="Calibri"/>
          <w:sz w:val="22"/>
          <w:szCs w:val="22"/>
        </w:rPr>
        <w:t>u</w:t>
      </w:r>
      <w:r w:rsidRPr="003A2769">
        <w:rPr>
          <w:rFonts w:ascii="Calibri" w:hAnsi="Calibri"/>
          <w:sz w:val="22"/>
          <w:szCs w:val="22"/>
        </w:rPr>
        <w:t xml:space="preserve">se, and </w:t>
      </w:r>
      <w:r w:rsidR="00C63A0D">
        <w:rPr>
          <w:rFonts w:ascii="Calibri" w:hAnsi="Calibri"/>
          <w:sz w:val="22"/>
          <w:szCs w:val="22"/>
        </w:rPr>
        <w:t>g</w:t>
      </w:r>
      <w:r w:rsidRPr="003A2769">
        <w:rPr>
          <w:rFonts w:ascii="Calibri" w:hAnsi="Calibri"/>
          <w:sz w:val="22"/>
          <w:szCs w:val="22"/>
        </w:rPr>
        <w:t xml:space="preserve">rowth in Bonner County, Idaho, </w:t>
      </w:r>
      <w:r w:rsidRPr="003A2769">
        <w:rPr>
          <w:rFonts w:ascii="Calibri" w:hAnsi="Calibri"/>
          <w:i/>
          <w:sz w:val="22"/>
          <w:szCs w:val="22"/>
        </w:rPr>
        <w:t xml:space="preserve">Environmental Dispute Resolution Program Report, </w:t>
      </w:r>
      <w:r w:rsidRPr="003A2769">
        <w:rPr>
          <w:rFonts w:ascii="Calibri" w:hAnsi="Calibri"/>
          <w:sz w:val="22"/>
          <w:szCs w:val="22"/>
        </w:rPr>
        <w:t xml:space="preserve">December 2016. </w:t>
      </w:r>
    </w:p>
    <w:p w14:paraId="0FB9116E" w14:textId="295E67B4" w:rsidR="003A2769" w:rsidRPr="00C63A0D" w:rsidRDefault="003A2769" w:rsidP="00C63A0D">
      <w:pPr>
        <w:pStyle w:val="ListParagraph"/>
        <w:numPr>
          <w:ilvl w:val="0"/>
          <w:numId w:val="20"/>
        </w:numPr>
        <w:suppressAutoHyphens w:val="0"/>
        <w:spacing w:after="0" w:line="240" w:lineRule="auto"/>
        <w:ind w:leftChars="0" w:firstLineChars="0"/>
        <w:textDirection w:val="lrTb"/>
        <w:textAlignment w:val="auto"/>
        <w:outlineLvl w:val="9"/>
        <w:rPr>
          <w:rFonts w:ascii="Calibri" w:hAnsi="Calibri"/>
          <w:sz w:val="22"/>
          <w:szCs w:val="22"/>
        </w:rPr>
      </w:pPr>
      <w:r w:rsidRPr="003A2769">
        <w:rPr>
          <w:rFonts w:ascii="Calibri" w:hAnsi="Calibri"/>
          <w:sz w:val="22"/>
          <w:szCs w:val="22"/>
        </w:rPr>
        <w:t>Rumore, D. and D. Corbin</w:t>
      </w:r>
      <w:r w:rsidR="00287E28">
        <w:rPr>
          <w:rFonts w:ascii="Calibri" w:hAnsi="Calibri"/>
          <w:sz w:val="22"/>
          <w:szCs w:val="22"/>
        </w:rPr>
        <w:t>.</w:t>
      </w:r>
      <w:r w:rsidRPr="003A2769">
        <w:rPr>
          <w:rFonts w:ascii="Calibri" w:hAnsi="Calibri"/>
          <w:sz w:val="22"/>
          <w:szCs w:val="22"/>
        </w:rPr>
        <w:t xml:space="preserve"> (2016) Situation </w:t>
      </w:r>
      <w:r w:rsidR="00C63A0D">
        <w:rPr>
          <w:rFonts w:ascii="Calibri" w:hAnsi="Calibri"/>
          <w:sz w:val="22"/>
          <w:szCs w:val="22"/>
        </w:rPr>
        <w:t>a</w:t>
      </w:r>
      <w:r w:rsidRPr="003A2769">
        <w:rPr>
          <w:rFonts w:ascii="Calibri" w:hAnsi="Calibri"/>
          <w:sz w:val="22"/>
          <w:szCs w:val="22"/>
        </w:rPr>
        <w:t xml:space="preserve">ssessment: Western Zion Corridor, </w:t>
      </w:r>
      <w:r w:rsidRPr="003A2769">
        <w:rPr>
          <w:rFonts w:ascii="Calibri" w:hAnsi="Calibri"/>
          <w:i/>
          <w:sz w:val="22"/>
          <w:szCs w:val="22"/>
        </w:rPr>
        <w:t xml:space="preserve">Environmental Dispute Resolution Program Report, </w:t>
      </w:r>
      <w:r w:rsidRPr="003A2769">
        <w:rPr>
          <w:rFonts w:ascii="Calibri" w:hAnsi="Calibri"/>
          <w:sz w:val="22"/>
          <w:szCs w:val="22"/>
        </w:rPr>
        <w:t>Fall 2016.</w:t>
      </w:r>
    </w:p>
    <w:p w14:paraId="2D0ACCCD" w14:textId="125FA673" w:rsidR="00C63A0D" w:rsidRDefault="00C63A0D" w:rsidP="003A2769">
      <w:pPr>
        <w:autoSpaceDE w:val="0"/>
        <w:autoSpaceDN w:val="0"/>
        <w:adjustRightInd w:val="0"/>
        <w:spacing w:after="0" w:line="240" w:lineRule="auto"/>
        <w:ind w:left="0" w:hanging="2"/>
        <w:jc w:val="both"/>
        <w:rPr>
          <w:rFonts w:ascii="Calibri" w:hAnsi="Calibri"/>
          <w:b/>
          <w:sz w:val="22"/>
          <w:szCs w:val="22"/>
        </w:rPr>
      </w:pPr>
    </w:p>
    <w:p w14:paraId="7A81324F" w14:textId="77777777" w:rsidR="00C63A0D" w:rsidRPr="003A2769" w:rsidRDefault="00C63A0D" w:rsidP="003A2769">
      <w:pPr>
        <w:autoSpaceDE w:val="0"/>
        <w:autoSpaceDN w:val="0"/>
        <w:adjustRightInd w:val="0"/>
        <w:spacing w:after="0" w:line="240" w:lineRule="auto"/>
        <w:ind w:left="0" w:hanging="2"/>
        <w:jc w:val="both"/>
        <w:rPr>
          <w:rFonts w:ascii="Calibri" w:hAnsi="Calibri"/>
          <w:b/>
          <w:sz w:val="22"/>
          <w:szCs w:val="22"/>
        </w:rPr>
      </w:pPr>
    </w:p>
    <w:p w14:paraId="1398337F" w14:textId="67F727A7" w:rsidR="003A2769" w:rsidRPr="003A2769" w:rsidRDefault="003A2769" w:rsidP="003A2769">
      <w:pPr>
        <w:autoSpaceDE w:val="0"/>
        <w:autoSpaceDN w:val="0"/>
        <w:adjustRightInd w:val="0"/>
        <w:spacing w:after="0" w:line="240" w:lineRule="auto"/>
        <w:ind w:left="0" w:hanging="2"/>
        <w:jc w:val="both"/>
        <w:rPr>
          <w:rFonts w:ascii="Calibri" w:hAnsi="Calibri"/>
          <w:b/>
          <w:sz w:val="22"/>
          <w:szCs w:val="22"/>
        </w:rPr>
      </w:pPr>
      <w:r w:rsidRPr="003A2769">
        <w:rPr>
          <w:rFonts w:ascii="Calibri" w:hAnsi="Calibri"/>
          <w:b/>
          <w:sz w:val="22"/>
          <w:szCs w:val="22"/>
        </w:rPr>
        <w:lastRenderedPageBreak/>
        <w:t>Other significant products:</w:t>
      </w:r>
    </w:p>
    <w:p w14:paraId="7F90B4A6" w14:textId="77777777" w:rsidR="00C63A0D" w:rsidRPr="00C63A0D" w:rsidRDefault="00C63A0D" w:rsidP="00C63A0D">
      <w:pPr>
        <w:pStyle w:val="ListParagraph"/>
        <w:numPr>
          <w:ilvl w:val="0"/>
          <w:numId w:val="23"/>
        </w:numPr>
        <w:suppressAutoHyphens w:val="0"/>
        <w:spacing w:after="0" w:line="240" w:lineRule="auto"/>
        <w:ind w:leftChars="0" w:right="720" w:firstLineChars="0"/>
        <w:textDirection w:val="lrTb"/>
        <w:textAlignment w:val="auto"/>
        <w:outlineLvl w:val="9"/>
        <w:rPr>
          <w:rFonts w:ascii="Calibri" w:hAnsi="Calibri"/>
          <w:i/>
          <w:sz w:val="22"/>
          <w:szCs w:val="22"/>
        </w:rPr>
      </w:pPr>
      <w:proofErr w:type="spellStart"/>
      <w:r w:rsidRPr="00C63A0D">
        <w:rPr>
          <w:rFonts w:ascii="Calibri" w:hAnsi="Calibri"/>
          <w:sz w:val="22"/>
          <w:szCs w:val="22"/>
        </w:rPr>
        <w:t>Zajchowski</w:t>
      </w:r>
      <w:proofErr w:type="spellEnd"/>
      <w:r w:rsidRPr="00C63A0D">
        <w:rPr>
          <w:rFonts w:ascii="Calibri" w:hAnsi="Calibri"/>
          <w:sz w:val="22"/>
          <w:szCs w:val="22"/>
        </w:rPr>
        <w:t xml:space="preserve">, C., M. Brownlee, M. </w:t>
      </w:r>
      <w:proofErr w:type="spellStart"/>
      <w:r w:rsidRPr="00C63A0D">
        <w:rPr>
          <w:rFonts w:ascii="Calibri" w:hAnsi="Calibri"/>
          <w:sz w:val="22"/>
          <w:szCs w:val="22"/>
        </w:rPr>
        <w:t>Blacketer</w:t>
      </w:r>
      <w:proofErr w:type="spellEnd"/>
      <w:r w:rsidRPr="00C63A0D">
        <w:rPr>
          <w:rFonts w:ascii="Calibri" w:hAnsi="Calibri"/>
          <w:sz w:val="22"/>
          <w:szCs w:val="22"/>
        </w:rPr>
        <w:t xml:space="preserve">, J. Rose, D. Rumore, J. Watson, and D. Dustin (2019). “Can you take me higher?”: normative thresholds for air quality in the Salt Lake City Metropolitan Area. </w:t>
      </w:r>
      <w:r w:rsidRPr="00C63A0D">
        <w:rPr>
          <w:rFonts w:ascii="Calibri" w:hAnsi="Calibri"/>
          <w:i/>
          <w:sz w:val="22"/>
          <w:szCs w:val="22"/>
        </w:rPr>
        <w:t xml:space="preserve">Journal of Leisure Research, 50(2): </w:t>
      </w:r>
      <w:r w:rsidRPr="00C63A0D">
        <w:rPr>
          <w:rFonts w:ascii="Calibri" w:hAnsi="Calibri"/>
          <w:sz w:val="22"/>
          <w:szCs w:val="22"/>
        </w:rPr>
        <w:t>157-180.</w:t>
      </w:r>
    </w:p>
    <w:p w14:paraId="3EB13F26" w14:textId="77777777" w:rsidR="00C63A0D" w:rsidRPr="00C63A0D" w:rsidRDefault="003A2769" w:rsidP="00C63A0D">
      <w:pPr>
        <w:pStyle w:val="ListParagraph"/>
        <w:numPr>
          <w:ilvl w:val="0"/>
          <w:numId w:val="23"/>
        </w:numPr>
        <w:suppressAutoHyphens w:val="0"/>
        <w:spacing w:after="0" w:line="240" w:lineRule="auto"/>
        <w:ind w:leftChars="0" w:right="720" w:firstLineChars="0"/>
        <w:textDirection w:val="lrTb"/>
        <w:textAlignment w:val="auto"/>
        <w:outlineLvl w:val="9"/>
        <w:rPr>
          <w:rFonts w:ascii="Calibri" w:hAnsi="Calibri"/>
          <w:i/>
          <w:sz w:val="22"/>
          <w:szCs w:val="22"/>
        </w:rPr>
      </w:pPr>
      <w:r w:rsidRPr="00C63A0D">
        <w:rPr>
          <w:rFonts w:ascii="Calibri" w:hAnsi="Calibri"/>
          <w:sz w:val="22"/>
          <w:szCs w:val="22"/>
        </w:rPr>
        <w:t>Rumore, D., T. Schenk, and L. Susskind (2016) Role-</w:t>
      </w:r>
      <w:r w:rsidR="00C63A0D" w:rsidRPr="00C63A0D">
        <w:rPr>
          <w:rFonts w:ascii="Calibri" w:hAnsi="Calibri"/>
          <w:sz w:val="22"/>
          <w:szCs w:val="22"/>
        </w:rPr>
        <w:t>p</w:t>
      </w:r>
      <w:r w:rsidRPr="00C63A0D">
        <w:rPr>
          <w:rFonts w:ascii="Calibri" w:hAnsi="Calibri"/>
          <w:sz w:val="22"/>
          <w:szCs w:val="22"/>
        </w:rPr>
        <w:t xml:space="preserve">lay </w:t>
      </w:r>
      <w:r w:rsidR="00C63A0D" w:rsidRPr="00C63A0D">
        <w:rPr>
          <w:rFonts w:ascii="Calibri" w:hAnsi="Calibri"/>
          <w:sz w:val="22"/>
          <w:szCs w:val="22"/>
        </w:rPr>
        <w:t>s</w:t>
      </w:r>
      <w:r w:rsidRPr="00C63A0D">
        <w:rPr>
          <w:rFonts w:ascii="Calibri" w:hAnsi="Calibri"/>
          <w:sz w:val="22"/>
          <w:szCs w:val="22"/>
        </w:rPr>
        <w:t xml:space="preserve">imulations for </w:t>
      </w:r>
      <w:r w:rsidR="00C63A0D" w:rsidRPr="00C63A0D">
        <w:rPr>
          <w:rFonts w:ascii="Calibri" w:hAnsi="Calibri"/>
          <w:sz w:val="22"/>
          <w:szCs w:val="22"/>
        </w:rPr>
        <w:t>cli</w:t>
      </w:r>
      <w:r w:rsidRPr="00C63A0D">
        <w:rPr>
          <w:rFonts w:ascii="Calibri" w:hAnsi="Calibri"/>
          <w:sz w:val="22"/>
          <w:szCs w:val="22"/>
        </w:rPr>
        <w:t xml:space="preserve">mate </w:t>
      </w:r>
      <w:r w:rsidR="00C63A0D" w:rsidRPr="00C63A0D">
        <w:rPr>
          <w:rFonts w:ascii="Calibri" w:hAnsi="Calibri"/>
          <w:sz w:val="22"/>
          <w:szCs w:val="22"/>
        </w:rPr>
        <w:t>c</w:t>
      </w:r>
      <w:r w:rsidRPr="00C63A0D">
        <w:rPr>
          <w:rFonts w:ascii="Calibri" w:hAnsi="Calibri"/>
          <w:sz w:val="22"/>
          <w:szCs w:val="22"/>
        </w:rPr>
        <w:t xml:space="preserve">hange </w:t>
      </w:r>
      <w:r w:rsidR="00C63A0D" w:rsidRPr="00C63A0D">
        <w:rPr>
          <w:rFonts w:ascii="Calibri" w:hAnsi="Calibri"/>
          <w:sz w:val="22"/>
          <w:szCs w:val="22"/>
        </w:rPr>
        <w:t>a</w:t>
      </w:r>
      <w:r w:rsidRPr="00C63A0D">
        <w:rPr>
          <w:rFonts w:ascii="Calibri" w:hAnsi="Calibri"/>
          <w:sz w:val="22"/>
          <w:szCs w:val="22"/>
        </w:rPr>
        <w:t xml:space="preserve">daptation </w:t>
      </w:r>
      <w:r w:rsidR="00C63A0D" w:rsidRPr="00C63A0D">
        <w:rPr>
          <w:rFonts w:ascii="Calibri" w:hAnsi="Calibri"/>
          <w:sz w:val="22"/>
          <w:szCs w:val="22"/>
        </w:rPr>
        <w:t>e</w:t>
      </w:r>
      <w:r w:rsidRPr="00C63A0D">
        <w:rPr>
          <w:rFonts w:ascii="Calibri" w:hAnsi="Calibri"/>
          <w:sz w:val="22"/>
          <w:szCs w:val="22"/>
        </w:rPr>
        <w:t xml:space="preserve">ducation and </w:t>
      </w:r>
      <w:r w:rsidR="00C63A0D" w:rsidRPr="00C63A0D">
        <w:rPr>
          <w:rFonts w:ascii="Calibri" w:hAnsi="Calibri"/>
          <w:sz w:val="22"/>
          <w:szCs w:val="22"/>
        </w:rPr>
        <w:t>e</w:t>
      </w:r>
      <w:r w:rsidRPr="00C63A0D">
        <w:rPr>
          <w:rFonts w:ascii="Calibri" w:hAnsi="Calibri"/>
          <w:sz w:val="22"/>
          <w:szCs w:val="22"/>
        </w:rPr>
        <w:t xml:space="preserve">ngagement, </w:t>
      </w:r>
      <w:r w:rsidRPr="00C63A0D">
        <w:rPr>
          <w:rFonts w:ascii="Calibri" w:hAnsi="Calibri"/>
          <w:i/>
          <w:sz w:val="22"/>
          <w:szCs w:val="22"/>
        </w:rPr>
        <w:t>Nature Climate Change</w:t>
      </w:r>
      <w:r w:rsidRPr="00C63A0D">
        <w:rPr>
          <w:rFonts w:ascii="Calibri" w:hAnsi="Calibri"/>
          <w:sz w:val="22"/>
          <w:szCs w:val="22"/>
        </w:rPr>
        <w:t xml:space="preserve"> (6): 745-750.</w:t>
      </w:r>
    </w:p>
    <w:p w14:paraId="7DEED9F3" w14:textId="77777777" w:rsidR="00C63A0D" w:rsidRPr="00C63A0D" w:rsidRDefault="003A2769" w:rsidP="00C63A0D">
      <w:pPr>
        <w:pStyle w:val="ListParagraph"/>
        <w:numPr>
          <w:ilvl w:val="0"/>
          <w:numId w:val="23"/>
        </w:numPr>
        <w:suppressAutoHyphens w:val="0"/>
        <w:spacing w:after="0" w:line="240" w:lineRule="auto"/>
        <w:ind w:leftChars="0" w:right="720" w:firstLineChars="0"/>
        <w:textDirection w:val="lrTb"/>
        <w:textAlignment w:val="auto"/>
        <w:outlineLvl w:val="9"/>
        <w:rPr>
          <w:rFonts w:ascii="Calibri" w:hAnsi="Calibri"/>
          <w:i/>
          <w:sz w:val="22"/>
          <w:szCs w:val="22"/>
        </w:rPr>
      </w:pPr>
      <w:proofErr w:type="spellStart"/>
      <w:r w:rsidRPr="00C63A0D">
        <w:rPr>
          <w:rFonts w:ascii="Calibri" w:hAnsi="Calibri"/>
          <w:sz w:val="22"/>
          <w:szCs w:val="22"/>
        </w:rPr>
        <w:t>Czaika</w:t>
      </w:r>
      <w:proofErr w:type="spellEnd"/>
      <w:r w:rsidRPr="00C63A0D">
        <w:rPr>
          <w:rFonts w:ascii="Calibri" w:hAnsi="Calibri"/>
          <w:sz w:val="22"/>
          <w:szCs w:val="22"/>
        </w:rPr>
        <w:t xml:space="preserve">, E., D. Rumore, and T. Schenk (2016) Finding the </w:t>
      </w:r>
      <w:r w:rsidR="00C63A0D" w:rsidRPr="00C63A0D">
        <w:rPr>
          <w:rFonts w:ascii="Calibri" w:hAnsi="Calibri"/>
          <w:sz w:val="22"/>
          <w:szCs w:val="22"/>
        </w:rPr>
        <w:t>f</w:t>
      </w:r>
      <w:r w:rsidRPr="00C63A0D">
        <w:rPr>
          <w:rFonts w:ascii="Calibri" w:hAnsi="Calibri"/>
          <w:sz w:val="22"/>
          <w:szCs w:val="22"/>
        </w:rPr>
        <w:t xml:space="preserve">acts about </w:t>
      </w:r>
      <w:r w:rsidR="00C63A0D" w:rsidRPr="00C63A0D">
        <w:rPr>
          <w:rFonts w:ascii="Calibri" w:hAnsi="Calibri"/>
          <w:sz w:val="22"/>
          <w:szCs w:val="22"/>
        </w:rPr>
        <w:t>j</w:t>
      </w:r>
      <w:r w:rsidRPr="00C63A0D">
        <w:rPr>
          <w:rFonts w:ascii="Calibri" w:hAnsi="Calibri"/>
          <w:sz w:val="22"/>
          <w:szCs w:val="22"/>
        </w:rPr>
        <w:t xml:space="preserve">oint </w:t>
      </w:r>
      <w:r w:rsidR="00C63A0D" w:rsidRPr="00C63A0D">
        <w:rPr>
          <w:rFonts w:ascii="Calibri" w:hAnsi="Calibri"/>
          <w:sz w:val="22"/>
          <w:szCs w:val="22"/>
        </w:rPr>
        <w:t>f</w:t>
      </w:r>
      <w:r w:rsidRPr="00C63A0D">
        <w:rPr>
          <w:rFonts w:ascii="Calibri" w:hAnsi="Calibri"/>
          <w:sz w:val="22"/>
          <w:szCs w:val="22"/>
        </w:rPr>
        <w:t>act-</w:t>
      </w:r>
      <w:r w:rsidR="00C63A0D" w:rsidRPr="00C63A0D">
        <w:rPr>
          <w:rFonts w:ascii="Calibri" w:hAnsi="Calibri"/>
          <w:sz w:val="22"/>
          <w:szCs w:val="22"/>
        </w:rPr>
        <w:t>f</w:t>
      </w:r>
      <w:r w:rsidRPr="00C63A0D">
        <w:rPr>
          <w:rFonts w:ascii="Calibri" w:hAnsi="Calibri"/>
          <w:sz w:val="22"/>
          <w:szCs w:val="22"/>
        </w:rPr>
        <w:t xml:space="preserve">inding: </w:t>
      </w:r>
      <w:r w:rsidR="00C63A0D" w:rsidRPr="00C63A0D">
        <w:rPr>
          <w:rFonts w:ascii="Calibri" w:hAnsi="Calibri"/>
          <w:sz w:val="22"/>
          <w:szCs w:val="22"/>
        </w:rPr>
        <w:t>c</w:t>
      </w:r>
      <w:r w:rsidRPr="00C63A0D">
        <w:rPr>
          <w:rFonts w:ascii="Calibri" w:hAnsi="Calibri"/>
          <w:sz w:val="22"/>
          <w:szCs w:val="22"/>
        </w:rPr>
        <w:t xml:space="preserve">riteria and </w:t>
      </w:r>
      <w:r w:rsidR="00C63A0D" w:rsidRPr="00C63A0D">
        <w:rPr>
          <w:rFonts w:ascii="Calibri" w:hAnsi="Calibri"/>
          <w:sz w:val="22"/>
          <w:szCs w:val="22"/>
        </w:rPr>
        <w:t>a</w:t>
      </w:r>
      <w:r w:rsidRPr="00C63A0D">
        <w:rPr>
          <w:rFonts w:ascii="Calibri" w:hAnsi="Calibri"/>
          <w:sz w:val="22"/>
          <w:szCs w:val="22"/>
        </w:rPr>
        <w:t xml:space="preserve">pproaches for </w:t>
      </w:r>
      <w:r w:rsidR="00C63A0D" w:rsidRPr="00C63A0D">
        <w:rPr>
          <w:rFonts w:ascii="Calibri" w:hAnsi="Calibri"/>
          <w:sz w:val="22"/>
          <w:szCs w:val="22"/>
        </w:rPr>
        <w:t>r</w:t>
      </w:r>
      <w:r w:rsidRPr="00C63A0D">
        <w:rPr>
          <w:rFonts w:ascii="Calibri" w:hAnsi="Calibri"/>
          <w:sz w:val="22"/>
          <w:szCs w:val="22"/>
        </w:rPr>
        <w:t xml:space="preserve">igorous </w:t>
      </w:r>
      <w:r w:rsidR="00C63A0D" w:rsidRPr="00C63A0D">
        <w:rPr>
          <w:rFonts w:ascii="Calibri" w:hAnsi="Calibri"/>
          <w:sz w:val="22"/>
          <w:szCs w:val="22"/>
        </w:rPr>
        <w:t>e</w:t>
      </w:r>
      <w:r w:rsidRPr="00C63A0D">
        <w:rPr>
          <w:rFonts w:ascii="Calibri" w:hAnsi="Calibri"/>
          <w:sz w:val="22"/>
          <w:szCs w:val="22"/>
        </w:rPr>
        <w:t xml:space="preserve">valuation, </w:t>
      </w:r>
      <w:r w:rsidRPr="00C63A0D">
        <w:rPr>
          <w:rFonts w:ascii="Calibri" w:hAnsi="Calibri"/>
          <w:i/>
          <w:sz w:val="22"/>
          <w:szCs w:val="22"/>
        </w:rPr>
        <w:t xml:space="preserve">Joint Fact Finding in Urban Planning and Environmental Disputes, </w:t>
      </w:r>
      <w:r w:rsidRPr="00C63A0D">
        <w:rPr>
          <w:rFonts w:ascii="Calibri" w:hAnsi="Calibri"/>
          <w:sz w:val="22"/>
          <w:szCs w:val="22"/>
        </w:rPr>
        <w:t>London, UK: Routledge.</w:t>
      </w:r>
    </w:p>
    <w:p w14:paraId="4D37F088" w14:textId="77777777" w:rsidR="00C63A0D" w:rsidRPr="00C63A0D" w:rsidRDefault="003A2769" w:rsidP="00C63A0D">
      <w:pPr>
        <w:pStyle w:val="ListParagraph"/>
        <w:numPr>
          <w:ilvl w:val="0"/>
          <w:numId w:val="23"/>
        </w:numPr>
        <w:suppressAutoHyphens w:val="0"/>
        <w:spacing w:after="0" w:line="240" w:lineRule="auto"/>
        <w:ind w:leftChars="0" w:right="720" w:firstLineChars="0"/>
        <w:textDirection w:val="lrTb"/>
        <w:textAlignment w:val="auto"/>
        <w:outlineLvl w:val="9"/>
        <w:rPr>
          <w:rFonts w:ascii="Calibri" w:hAnsi="Calibri"/>
          <w:i/>
          <w:sz w:val="22"/>
          <w:szCs w:val="22"/>
        </w:rPr>
      </w:pPr>
      <w:r w:rsidRPr="00C63A0D">
        <w:rPr>
          <w:rFonts w:ascii="Calibri" w:hAnsi="Calibri"/>
          <w:sz w:val="22"/>
          <w:szCs w:val="22"/>
        </w:rPr>
        <w:t xml:space="preserve">Susskind, L., D. Rumore, C. </w:t>
      </w:r>
      <w:proofErr w:type="spellStart"/>
      <w:r w:rsidRPr="00C63A0D">
        <w:rPr>
          <w:rFonts w:ascii="Calibri" w:hAnsi="Calibri"/>
          <w:sz w:val="22"/>
          <w:szCs w:val="22"/>
        </w:rPr>
        <w:t>Hulet</w:t>
      </w:r>
      <w:proofErr w:type="spellEnd"/>
      <w:r w:rsidRPr="00C63A0D">
        <w:rPr>
          <w:rFonts w:ascii="Calibri" w:hAnsi="Calibri"/>
          <w:sz w:val="22"/>
          <w:szCs w:val="22"/>
        </w:rPr>
        <w:t xml:space="preserve">, and P. Field (2015) </w:t>
      </w:r>
      <w:r w:rsidRPr="00C63A0D">
        <w:rPr>
          <w:rFonts w:ascii="Calibri" w:hAnsi="Calibri"/>
          <w:i/>
          <w:sz w:val="22"/>
          <w:szCs w:val="22"/>
        </w:rPr>
        <w:t>Managing Climate Change Risks in Coastal Communities: Strategies for Engagement, Readiness and Adaptation</w:t>
      </w:r>
      <w:r w:rsidRPr="00C63A0D">
        <w:rPr>
          <w:rFonts w:ascii="Calibri" w:hAnsi="Calibri"/>
          <w:sz w:val="22"/>
          <w:szCs w:val="22"/>
        </w:rPr>
        <w:t>, London, UK: Anthem Press</w:t>
      </w:r>
    </w:p>
    <w:p w14:paraId="20586282" w14:textId="5B8E06EC" w:rsidR="003A2769" w:rsidRPr="00C63A0D" w:rsidRDefault="003A2769" w:rsidP="00C63A0D">
      <w:pPr>
        <w:pStyle w:val="ListParagraph"/>
        <w:numPr>
          <w:ilvl w:val="0"/>
          <w:numId w:val="23"/>
        </w:numPr>
        <w:suppressAutoHyphens w:val="0"/>
        <w:spacing w:after="0" w:line="240" w:lineRule="auto"/>
        <w:ind w:leftChars="0" w:right="720" w:firstLineChars="0"/>
        <w:textDirection w:val="lrTb"/>
        <w:textAlignment w:val="auto"/>
        <w:outlineLvl w:val="9"/>
        <w:rPr>
          <w:rFonts w:ascii="Calibri" w:hAnsi="Calibri"/>
          <w:i/>
          <w:sz w:val="22"/>
          <w:szCs w:val="22"/>
        </w:rPr>
      </w:pPr>
      <w:r w:rsidRPr="00C63A0D">
        <w:rPr>
          <w:rFonts w:ascii="Calibri" w:hAnsi="Calibri"/>
          <w:sz w:val="22"/>
          <w:szCs w:val="22"/>
        </w:rPr>
        <w:t xml:space="preserve">Susskind, L. and D. Rumore (2015) Using </w:t>
      </w:r>
      <w:r w:rsidR="00C63A0D">
        <w:rPr>
          <w:rFonts w:ascii="Calibri" w:hAnsi="Calibri"/>
          <w:sz w:val="22"/>
          <w:szCs w:val="22"/>
        </w:rPr>
        <w:t>d</w:t>
      </w:r>
      <w:r w:rsidRPr="00C63A0D">
        <w:rPr>
          <w:rFonts w:ascii="Calibri" w:hAnsi="Calibri"/>
          <w:sz w:val="22"/>
          <w:szCs w:val="22"/>
        </w:rPr>
        <w:t xml:space="preserve">evising </w:t>
      </w:r>
      <w:r w:rsidR="00C63A0D">
        <w:rPr>
          <w:rFonts w:ascii="Calibri" w:hAnsi="Calibri"/>
          <w:sz w:val="22"/>
          <w:szCs w:val="22"/>
        </w:rPr>
        <w:t>s</w:t>
      </w:r>
      <w:r w:rsidRPr="00C63A0D">
        <w:rPr>
          <w:rFonts w:ascii="Calibri" w:hAnsi="Calibri"/>
          <w:sz w:val="22"/>
          <w:szCs w:val="22"/>
        </w:rPr>
        <w:t xml:space="preserve">eminars to </w:t>
      </w:r>
      <w:r w:rsidR="00C63A0D">
        <w:rPr>
          <w:rFonts w:ascii="Calibri" w:hAnsi="Calibri"/>
          <w:sz w:val="22"/>
          <w:szCs w:val="22"/>
        </w:rPr>
        <w:t>a</w:t>
      </w:r>
      <w:r w:rsidRPr="00C63A0D">
        <w:rPr>
          <w:rFonts w:ascii="Calibri" w:hAnsi="Calibri"/>
          <w:sz w:val="22"/>
          <w:szCs w:val="22"/>
        </w:rPr>
        <w:t xml:space="preserve">dvance </w:t>
      </w:r>
      <w:r w:rsidR="00C63A0D">
        <w:rPr>
          <w:rFonts w:ascii="Calibri" w:hAnsi="Calibri"/>
          <w:sz w:val="22"/>
          <w:szCs w:val="22"/>
        </w:rPr>
        <w:t>c</w:t>
      </w:r>
      <w:r w:rsidRPr="00C63A0D">
        <w:rPr>
          <w:rFonts w:ascii="Calibri" w:hAnsi="Calibri"/>
          <w:sz w:val="22"/>
          <w:szCs w:val="22"/>
        </w:rPr>
        <w:t xml:space="preserve">ollaborative </w:t>
      </w:r>
      <w:r w:rsidR="00C63A0D">
        <w:rPr>
          <w:rFonts w:ascii="Calibri" w:hAnsi="Calibri"/>
          <w:sz w:val="22"/>
          <w:szCs w:val="22"/>
        </w:rPr>
        <w:t>p</w:t>
      </w:r>
      <w:r w:rsidRPr="00C63A0D">
        <w:rPr>
          <w:rFonts w:ascii="Calibri" w:hAnsi="Calibri"/>
          <w:sz w:val="22"/>
          <w:szCs w:val="22"/>
        </w:rPr>
        <w:t xml:space="preserve">roblem </w:t>
      </w:r>
      <w:r w:rsidR="00C63A0D">
        <w:rPr>
          <w:rFonts w:ascii="Calibri" w:hAnsi="Calibri"/>
          <w:sz w:val="22"/>
          <w:szCs w:val="22"/>
        </w:rPr>
        <w:t>s</w:t>
      </w:r>
      <w:r w:rsidRPr="00C63A0D">
        <w:rPr>
          <w:rFonts w:ascii="Calibri" w:hAnsi="Calibri"/>
          <w:sz w:val="22"/>
          <w:szCs w:val="22"/>
        </w:rPr>
        <w:t xml:space="preserve">olving in </w:t>
      </w:r>
      <w:r w:rsidR="00C63A0D">
        <w:rPr>
          <w:rFonts w:ascii="Calibri" w:hAnsi="Calibri"/>
          <w:sz w:val="22"/>
          <w:szCs w:val="22"/>
        </w:rPr>
        <w:t>c</w:t>
      </w:r>
      <w:r w:rsidRPr="00C63A0D">
        <w:rPr>
          <w:rFonts w:ascii="Calibri" w:hAnsi="Calibri"/>
          <w:sz w:val="22"/>
          <w:szCs w:val="22"/>
        </w:rPr>
        <w:t xml:space="preserve">omplicated </w:t>
      </w:r>
      <w:r w:rsidR="00C63A0D">
        <w:rPr>
          <w:rFonts w:ascii="Calibri" w:hAnsi="Calibri"/>
          <w:sz w:val="22"/>
          <w:szCs w:val="22"/>
        </w:rPr>
        <w:t>p</w:t>
      </w:r>
      <w:r w:rsidRPr="00C63A0D">
        <w:rPr>
          <w:rFonts w:ascii="Calibri" w:hAnsi="Calibri"/>
          <w:sz w:val="22"/>
          <w:szCs w:val="22"/>
        </w:rPr>
        <w:t xml:space="preserve">ublic </w:t>
      </w:r>
      <w:r w:rsidR="00C63A0D">
        <w:rPr>
          <w:rFonts w:ascii="Calibri" w:hAnsi="Calibri"/>
          <w:sz w:val="22"/>
          <w:szCs w:val="22"/>
        </w:rPr>
        <w:t>p</w:t>
      </w:r>
      <w:r w:rsidRPr="00C63A0D">
        <w:rPr>
          <w:rFonts w:ascii="Calibri" w:hAnsi="Calibri"/>
          <w:sz w:val="22"/>
          <w:szCs w:val="22"/>
        </w:rPr>
        <w:t xml:space="preserve">olicy </w:t>
      </w:r>
      <w:r w:rsidR="00C63A0D">
        <w:rPr>
          <w:rFonts w:ascii="Calibri" w:hAnsi="Calibri"/>
          <w:sz w:val="22"/>
          <w:szCs w:val="22"/>
        </w:rPr>
        <w:t>d</w:t>
      </w:r>
      <w:r w:rsidRPr="00C63A0D">
        <w:rPr>
          <w:rFonts w:ascii="Calibri" w:hAnsi="Calibri"/>
          <w:sz w:val="22"/>
          <w:szCs w:val="22"/>
        </w:rPr>
        <w:t xml:space="preserve">isputes, </w:t>
      </w:r>
      <w:r w:rsidRPr="00C63A0D">
        <w:rPr>
          <w:rFonts w:ascii="Calibri" w:hAnsi="Calibri"/>
          <w:i/>
          <w:sz w:val="22"/>
          <w:szCs w:val="22"/>
        </w:rPr>
        <w:t xml:space="preserve">Negotiation Journal, </w:t>
      </w:r>
      <w:r w:rsidRPr="00C63A0D">
        <w:rPr>
          <w:rFonts w:ascii="Calibri" w:hAnsi="Calibri"/>
          <w:sz w:val="22"/>
          <w:szCs w:val="22"/>
        </w:rPr>
        <w:t xml:space="preserve">31(3): 223-235. </w:t>
      </w:r>
    </w:p>
    <w:p w14:paraId="51FA7EB0" w14:textId="77777777" w:rsidR="003A2769" w:rsidRPr="003A2769" w:rsidRDefault="003A2769" w:rsidP="003A2769">
      <w:pPr>
        <w:pStyle w:val="Heading4"/>
        <w:spacing w:before="0" w:line="240" w:lineRule="auto"/>
        <w:ind w:left="0" w:hanging="2"/>
        <w:jc w:val="both"/>
        <w:rPr>
          <w:rFonts w:ascii="Calibri" w:hAnsi="Calibri"/>
          <w:b/>
          <w:i w:val="0"/>
          <w:sz w:val="22"/>
          <w:szCs w:val="22"/>
        </w:rPr>
      </w:pPr>
    </w:p>
    <w:p w14:paraId="79C7CA7F" w14:textId="69A09ED7" w:rsidR="003A2769" w:rsidRPr="000D4895" w:rsidRDefault="003A2769" w:rsidP="003A2769">
      <w:pPr>
        <w:pStyle w:val="Heading4"/>
        <w:spacing w:before="0" w:line="240" w:lineRule="auto"/>
        <w:ind w:left="0" w:hanging="2"/>
        <w:jc w:val="both"/>
        <w:rPr>
          <w:rFonts w:ascii="Calibri" w:hAnsi="Calibri"/>
          <w:b/>
          <w:i w:val="0"/>
          <w:color w:val="000000" w:themeColor="text1"/>
          <w:sz w:val="22"/>
          <w:szCs w:val="22"/>
        </w:rPr>
      </w:pPr>
      <w:r w:rsidRPr="000D4895">
        <w:rPr>
          <w:rFonts w:ascii="Calibri" w:hAnsi="Calibri"/>
          <w:b/>
          <w:i w:val="0"/>
          <w:color w:val="000000" w:themeColor="text1"/>
          <w:sz w:val="22"/>
          <w:szCs w:val="22"/>
        </w:rPr>
        <w:t xml:space="preserve">D. Synergistic Activities </w:t>
      </w:r>
    </w:p>
    <w:p w14:paraId="0EB42A06" w14:textId="046EE718" w:rsidR="003A2769" w:rsidRPr="001E5BE1" w:rsidRDefault="003A2769" w:rsidP="007A19EC">
      <w:pPr>
        <w:pStyle w:val="Heading3"/>
        <w:keepLines w:val="0"/>
        <w:numPr>
          <w:ilvl w:val="0"/>
          <w:numId w:val="24"/>
        </w:numPr>
        <w:autoSpaceDE w:val="0"/>
        <w:autoSpaceDN w:val="0"/>
        <w:adjustRightInd w:val="0"/>
        <w:spacing w:before="0" w:line="240" w:lineRule="auto"/>
        <w:ind w:leftChars="0" w:firstLineChars="0"/>
        <w:jc w:val="both"/>
        <w:rPr>
          <w:rFonts w:ascii="Calibri" w:hAnsi="Calibri" w:cs="Calibri"/>
          <w:iCs/>
          <w:sz w:val="22"/>
          <w:szCs w:val="22"/>
        </w:rPr>
      </w:pPr>
      <w:r w:rsidRPr="003A2769">
        <w:rPr>
          <w:rFonts w:ascii="Calibri" w:hAnsi="Calibri"/>
          <w:i/>
          <w:sz w:val="22"/>
          <w:szCs w:val="22"/>
        </w:rPr>
        <w:t xml:space="preserve">GNAR Initiative: </w:t>
      </w:r>
      <w:r w:rsidRPr="003A2769">
        <w:rPr>
          <w:rFonts w:ascii="Calibri" w:hAnsi="Calibri"/>
          <w:iCs/>
          <w:sz w:val="22"/>
          <w:szCs w:val="22"/>
        </w:rPr>
        <w:t xml:space="preserve">Rumore is </w:t>
      </w:r>
      <w:r w:rsidR="00122F2A">
        <w:rPr>
          <w:rFonts w:ascii="Calibri" w:hAnsi="Calibri"/>
          <w:iCs/>
          <w:sz w:val="22"/>
          <w:szCs w:val="22"/>
        </w:rPr>
        <w:t>the F</w:t>
      </w:r>
      <w:r w:rsidRPr="003A2769">
        <w:rPr>
          <w:rFonts w:ascii="Calibri" w:hAnsi="Calibri"/>
          <w:iCs/>
          <w:sz w:val="22"/>
          <w:szCs w:val="22"/>
        </w:rPr>
        <w:t>ounder</w:t>
      </w:r>
      <w:r w:rsidR="00122F2A">
        <w:rPr>
          <w:rFonts w:ascii="Calibri" w:hAnsi="Calibri"/>
          <w:iCs/>
          <w:sz w:val="22"/>
          <w:szCs w:val="22"/>
        </w:rPr>
        <w:t xml:space="preserve"> and a Co-Director</w:t>
      </w:r>
      <w:r w:rsidRPr="003A2769">
        <w:rPr>
          <w:rFonts w:ascii="Calibri" w:hAnsi="Calibri"/>
          <w:iCs/>
          <w:sz w:val="22"/>
          <w:szCs w:val="22"/>
        </w:rPr>
        <w:t xml:space="preserve"> of the Gateway and Natural Amenity Region (GNAR) Initiative, which coordinates research, education, and </w:t>
      </w:r>
      <w:r w:rsidR="00122F2A">
        <w:rPr>
          <w:rFonts w:ascii="Calibri" w:hAnsi="Calibri"/>
          <w:iCs/>
          <w:sz w:val="22"/>
          <w:szCs w:val="22"/>
        </w:rPr>
        <w:t>technical assistance</w:t>
      </w:r>
      <w:r w:rsidRPr="003A2769">
        <w:rPr>
          <w:rFonts w:ascii="Calibri" w:hAnsi="Calibri"/>
          <w:iCs/>
          <w:sz w:val="22"/>
          <w:szCs w:val="22"/>
        </w:rPr>
        <w:t xml:space="preserve"> to help western GNAR communities preserve the qualities that make them special and thrive amid change. The GNAR Initiative hosts the GNAR Network, a peer-to-peer learning forum that Rumore facilitates.</w:t>
      </w:r>
      <w:r w:rsidR="00122F2A">
        <w:rPr>
          <w:rFonts w:ascii="Calibri" w:hAnsi="Calibri"/>
          <w:iCs/>
          <w:sz w:val="22"/>
          <w:szCs w:val="22"/>
        </w:rPr>
        <w:t xml:space="preserve"> The GNAR Initiative has leveraged over $100K in funds from academic, non-profit, and </w:t>
      </w:r>
      <w:r w:rsidR="00122F2A" w:rsidRPr="001E5BE1">
        <w:rPr>
          <w:rFonts w:ascii="Calibri" w:hAnsi="Calibri" w:cs="Calibri"/>
          <w:iCs/>
          <w:sz w:val="22"/>
          <w:szCs w:val="22"/>
        </w:rPr>
        <w:t>federal sources since it officially started in spring 2020.</w:t>
      </w:r>
    </w:p>
    <w:p w14:paraId="0DFA8B2D" w14:textId="3849A635" w:rsidR="00122F2A" w:rsidRPr="001E5BE1" w:rsidRDefault="00122F2A" w:rsidP="000D4895">
      <w:pPr>
        <w:pStyle w:val="ListParagraph"/>
        <w:numPr>
          <w:ilvl w:val="0"/>
          <w:numId w:val="24"/>
        </w:numPr>
        <w:spacing w:line="240" w:lineRule="auto"/>
        <w:ind w:leftChars="0" w:firstLineChars="0"/>
        <w:rPr>
          <w:rFonts w:ascii="Calibri" w:eastAsia="Times New Roman" w:hAnsi="Calibri" w:cs="Calibri"/>
          <w:iCs/>
          <w:color w:val="0D0D0D"/>
          <w:sz w:val="22"/>
          <w:szCs w:val="22"/>
        </w:rPr>
      </w:pPr>
      <w:r w:rsidRPr="001E5BE1">
        <w:rPr>
          <w:rFonts w:ascii="Calibri" w:eastAsia="Times New Roman" w:hAnsi="Calibri" w:cs="Calibri"/>
          <w:i/>
          <w:color w:val="0D0D0D"/>
          <w:sz w:val="22"/>
          <w:szCs w:val="22"/>
        </w:rPr>
        <w:t>GNAR Compass</w:t>
      </w:r>
      <w:r w:rsidR="001E5BE1">
        <w:rPr>
          <w:rFonts w:ascii="Calibri" w:eastAsia="Times New Roman" w:hAnsi="Calibri" w:cs="Calibri"/>
          <w:i/>
          <w:color w:val="0D0D0D"/>
          <w:sz w:val="22"/>
          <w:szCs w:val="22"/>
        </w:rPr>
        <w:t>—</w:t>
      </w:r>
      <w:r w:rsidRPr="001E5BE1">
        <w:rPr>
          <w:rFonts w:ascii="Calibri" w:hAnsi="Calibri" w:cs="Calibri"/>
          <w:i/>
          <w:iCs/>
          <w:sz w:val="22"/>
          <w:szCs w:val="22"/>
        </w:rPr>
        <w:t xml:space="preserve">A Tourism </w:t>
      </w:r>
      <w:r w:rsidR="001F0E12">
        <w:rPr>
          <w:rFonts w:ascii="Calibri" w:hAnsi="Calibri" w:cs="Calibri"/>
          <w:i/>
          <w:iCs/>
          <w:sz w:val="22"/>
          <w:szCs w:val="22"/>
        </w:rPr>
        <w:t xml:space="preserve">Decision </w:t>
      </w:r>
      <w:r w:rsidRPr="001E5BE1">
        <w:rPr>
          <w:rFonts w:ascii="Calibri" w:hAnsi="Calibri" w:cs="Calibri"/>
          <w:i/>
          <w:iCs/>
          <w:sz w:val="22"/>
          <w:szCs w:val="22"/>
        </w:rPr>
        <w:t xml:space="preserve">Support System for </w:t>
      </w:r>
      <w:r w:rsidR="00244127">
        <w:rPr>
          <w:rFonts w:ascii="Calibri" w:hAnsi="Calibri" w:cs="Calibri"/>
          <w:i/>
          <w:iCs/>
          <w:sz w:val="22"/>
          <w:szCs w:val="22"/>
        </w:rPr>
        <w:t>W</w:t>
      </w:r>
      <w:r w:rsidRPr="001E5BE1">
        <w:rPr>
          <w:rFonts w:ascii="Calibri" w:hAnsi="Calibri" w:cs="Calibri"/>
          <w:i/>
          <w:iCs/>
          <w:sz w:val="22"/>
          <w:szCs w:val="22"/>
        </w:rPr>
        <w:t xml:space="preserve">estern Gateway and Natural Amenity Region </w:t>
      </w:r>
      <w:r w:rsidR="001E5BE1" w:rsidRPr="001E5BE1">
        <w:rPr>
          <w:rFonts w:ascii="Calibri" w:hAnsi="Calibri" w:cs="Calibri"/>
          <w:i/>
          <w:iCs/>
          <w:sz w:val="22"/>
          <w:szCs w:val="22"/>
        </w:rPr>
        <w:t>Communities</w:t>
      </w:r>
      <w:r w:rsidRPr="001E5BE1">
        <w:rPr>
          <w:rFonts w:ascii="Calibri" w:hAnsi="Calibri" w:cs="Calibri"/>
          <w:sz w:val="22"/>
          <w:szCs w:val="22"/>
        </w:rPr>
        <w:t xml:space="preserve">: </w:t>
      </w:r>
      <w:r w:rsidRPr="001E5BE1">
        <w:rPr>
          <w:rFonts w:ascii="Calibri" w:eastAsia="Times New Roman" w:hAnsi="Calibri" w:cs="Calibri"/>
          <w:iCs/>
          <w:color w:val="0D0D0D"/>
          <w:sz w:val="22"/>
          <w:szCs w:val="22"/>
        </w:rPr>
        <w:t>Dr. Rumore is</w:t>
      </w:r>
      <w:r w:rsidR="00EC3BCC">
        <w:rPr>
          <w:rFonts w:ascii="Calibri" w:eastAsia="Times New Roman" w:hAnsi="Calibri" w:cs="Calibri"/>
          <w:iCs/>
          <w:color w:val="0D0D0D"/>
          <w:sz w:val="22"/>
          <w:szCs w:val="22"/>
        </w:rPr>
        <w:t xml:space="preserve"> </w:t>
      </w:r>
      <w:r w:rsidR="000D4895">
        <w:rPr>
          <w:rFonts w:ascii="Calibri" w:eastAsia="Times New Roman" w:hAnsi="Calibri" w:cs="Calibri"/>
          <w:iCs/>
          <w:color w:val="0D0D0D"/>
          <w:sz w:val="22"/>
          <w:szCs w:val="22"/>
        </w:rPr>
        <w:t>key personnel</w:t>
      </w:r>
      <w:r w:rsidRPr="001E5BE1">
        <w:rPr>
          <w:rFonts w:ascii="Calibri" w:eastAsia="Times New Roman" w:hAnsi="Calibri" w:cs="Calibri"/>
          <w:iCs/>
          <w:color w:val="0D0D0D"/>
          <w:sz w:val="22"/>
          <w:szCs w:val="22"/>
        </w:rPr>
        <w:t xml:space="preserve"> on a </w:t>
      </w:r>
      <w:r w:rsidR="001F0E12">
        <w:rPr>
          <w:rFonts w:ascii="Calibri" w:eastAsia="Times New Roman" w:hAnsi="Calibri" w:cs="Calibri"/>
          <w:iCs/>
          <w:color w:val="0D0D0D"/>
          <w:sz w:val="22"/>
          <w:szCs w:val="22"/>
        </w:rPr>
        <w:t xml:space="preserve">community-engaged </w:t>
      </w:r>
      <w:r w:rsidRPr="001E5BE1">
        <w:rPr>
          <w:rFonts w:ascii="Calibri" w:eastAsia="Times New Roman" w:hAnsi="Calibri" w:cs="Calibri"/>
          <w:iCs/>
          <w:color w:val="0D0D0D"/>
          <w:sz w:val="22"/>
          <w:szCs w:val="22"/>
        </w:rPr>
        <w:t>National Science Foundation</w:t>
      </w:r>
      <w:r w:rsidR="001E5BE1" w:rsidRPr="001E5BE1">
        <w:rPr>
          <w:rFonts w:ascii="Calibri" w:eastAsia="Times New Roman" w:hAnsi="Calibri" w:cs="Calibri"/>
          <w:iCs/>
          <w:color w:val="0D0D0D"/>
          <w:sz w:val="22"/>
          <w:szCs w:val="22"/>
        </w:rPr>
        <w:t xml:space="preserve">-funded project </w:t>
      </w:r>
      <w:r w:rsidR="001E5BE1">
        <w:rPr>
          <w:rFonts w:ascii="Calibri" w:eastAsia="Times New Roman" w:hAnsi="Calibri" w:cs="Calibri"/>
          <w:iCs/>
          <w:color w:val="0D0D0D"/>
          <w:sz w:val="22"/>
          <w:szCs w:val="22"/>
        </w:rPr>
        <w:t xml:space="preserve">($50K budget) </w:t>
      </w:r>
      <w:r w:rsidR="001E5BE1" w:rsidRPr="001E5BE1">
        <w:rPr>
          <w:rFonts w:ascii="Calibri" w:eastAsia="Times New Roman" w:hAnsi="Calibri" w:cs="Calibri"/>
          <w:iCs/>
          <w:color w:val="0D0D0D"/>
          <w:sz w:val="22"/>
          <w:szCs w:val="22"/>
        </w:rPr>
        <w:t>that is develop</w:t>
      </w:r>
      <w:r w:rsidR="001F0E12">
        <w:rPr>
          <w:rFonts w:ascii="Calibri" w:eastAsia="Times New Roman" w:hAnsi="Calibri" w:cs="Calibri"/>
          <w:iCs/>
          <w:color w:val="0D0D0D"/>
          <w:sz w:val="22"/>
          <w:szCs w:val="22"/>
        </w:rPr>
        <w:t>ing</w:t>
      </w:r>
      <w:r w:rsidR="001E5BE1" w:rsidRPr="001E5BE1">
        <w:rPr>
          <w:rFonts w:ascii="Calibri" w:eastAsia="Times New Roman" w:hAnsi="Calibri" w:cs="Calibri"/>
          <w:iCs/>
          <w:color w:val="0D0D0D"/>
          <w:sz w:val="22"/>
          <w:szCs w:val="22"/>
        </w:rPr>
        <w:t xml:space="preserve"> a tourism decision-support tool</w:t>
      </w:r>
      <w:r w:rsidR="001E5BE1">
        <w:rPr>
          <w:rFonts w:ascii="Calibri" w:eastAsia="Times New Roman" w:hAnsi="Calibri" w:cs="Calibri"/>
          <w:iCs/>
          <w:color w:val="0D0D0D"/>
          <w:sz w:val="22"/>
          <w:szCs w:val="22"/>
        </w:rPr>
        <w:t xml:space="preserve"> </w:t>
      </w:r>
      <w:r w:rsidR="001F0E12">
        <w:rPr>
          <w:rFonts w:ascii="Calibri" w:eastAsia="Times New Roman" w:hAnsi="Calibri" w:cs="Calibri"/>
          <w:iCs/>
          <w:color w:val="0D0D0D"/>
          <w:sz w:val="22"/>
          <w:szCs w:val="22"/>
        </w:rPr>
        <w:t>to help</w:t>
      </w:r>
      <w:r w:rsidR="001E5BE1" w:rsidRPr="001E5BE1">
        <w:rPr>
          <w:rFonts w:ascii="Calibri" w:eastAsia="Times New Roman" w:hAnsi="Calibri" w:cs="Calibri"/>
          <w:iCs/>
          <w:color w:val="0D0D0D"/>
          <w:sz w:val="22"/>
          <w:szCs w:val="22"/>
        </w:rPr>
        <w:t xml:space="preserve"> </w:t>
      </w:r>
      <w:r w:rsidR="001F0E12">
        <w:rPr>
          <w:rFonts w:ascii="Calibri" w:eastAsia="Times New Roman" w:hAnsi="Calibri" w:cs="Calibri"/>
          <w:iCs/>
          <w:color w:val="0D0D0D"/>
          <w:sz w:val="22"/>
          <w:szCs w:val="22"/>
        </w:rPr>
        <w:t>tourism-dependent communities prepare for and be resilient to external shocks</w:t>
      </w:r>
      <w:r w:rsidR="001E5BE1">
        <w:rPr>
          <w:rFonts w:ascii="Calibri" w:eastAsia="Times New Roman" w:hAnsi="Calibri" w:cs="Calibri"/>
          <w:iCs/>
          <w:color w:val="0D0D0D"/>
          <w:sz w:val="22"/>
          <w:szCs w:val="22"/>
        </w:rPr>
        <w:t xml:space="preserve">. </w:t>
      </w:r>
    </w:p>
    <w:p w14:paraId="5EEBC6C5" w14:textId="106B205F" w:rsidR="00122F2A" w:rsidRPr="001E5BE1" w:rsidRDefault="003A2769" w:rsidP="000D4895">
      <w:pPr>
        <w:pStyle w:val="ListParagraph"/>
        <w:numPr>
          <w:ilvl w:val="0"/>
          <w:numId w:val="24"/>
        </w:numPr>
        <w:spacing w:line="240" w:lineRule="auto"/>
        <w:ind w:leftChars="0" w:firstLineChars="0"/>
        <w:rPr>
          <w:rFonts w:ascii="Calibri" w:hAnsi="Calibri" w:cs="Calibri"/>
          <w:sz w:val="22"/>
          <w:szCs w:val="22"/>
        </w:rPr>
      </w:pPr>
      <w:r w:rsidRPr="001E5BE1">
        <w:rPr>
          <w:rFonts w:ascii="Calibri" w:hAnsi="Calibri" w:cs="Calibri"/>
          <w:i/>
          <w:sz w:val="22"/>
          <w:szCs w:val="22"/>
        </w:rPr>
        <w:t xml:space="preserve">Gateway Communities and COVID-19: </w:t>
      </w:r>
      <w:r w:rsidRPr="001E5BE1">
        <w:rPr>
          <w:rFonts w:ascii="Calibri" w:hAnsi="Calibri" w:cs="Calibri"/>
          <w:iCs/>
          <w:sz w:val="22"/>
          <w:szCs w:val="22"/>
        </w:rPr>
        <w:t xml:space="preserve">Rumore </w:t>
      </w:r>
      <w:r w:rsidR="00122F2A" w:rsidRPr="001E5BE1">
        <w:rPr>
          <w:rFonts w:ascii="Calibri" w:hAnsi="Calibri" w:cs="Calibri"/>
          <w:iCs/>
          <w:sz w:val="22"/>
          <w:szCs w:val="22"/>
        </w:rPr>
        <w:t>was</w:t>
      </w:r>
      <w:r w:rsidRPr="001E5BE1">
        <w:rPr>
          <w:rFonts w:ascii="Calibri" w:hAnsi="Calibri" w:cs="Calibri"/>
          <w:iCs/>
          <w:sz w:val="22"/>
          <w:szCs w:val="22"/>
        </w:rPr>
        <w:t xml:space="preserve"> the PI for a National Science Foundation-funded Working Group that develop</w:t>
      </w:r>
      <w:r w:rsidR="00244127">
        <w:rPr>
          <w:rFonts w:ascii="Calibri" w:hAnsi="Calibri" w:cs="Calibri"/>
          <w:iCs/>
          <w:sz w:val="22"/>
          <w:szCs w:val="22"/>
        </w:rPr>
        <w:t>ed</w:t>
      </w:r>
      <w:r w:rsidRPr="001E5BE1">
        <w:rPr>
          <w:rFonts w:ascii="Calibri" w:hAnsi="Calibri" w:cs="Calibri"/>
          <w:iCs/>
          <w:sz w:val="22"/>
          <w:szCs w:val="22"/>
        </w:rPr>
        <w:t xml:space="preserve"> a research agenda to study gateway communities' responses to COVID-19 and what can be learned from their experiences for community vulnerability and resilience.</w:t>
      </w:r>
    </w:p>
    <w:p w14:paraId="60BBA731" w14:textId="62E16A1D" w:rsidR="00122F2A" w:rsidRPr="00122F2A" w:rsidRDefault="003A2769" w:rsidP="000D4895">
      <w:pPr>
        <w:pStyle w:val="ListParagraph"/>
        <w:numPr>
          <w:ilvl w:val="0"/>
          <w:numId w:val="24"/>
        </w:numPr>
        <w:spacing w:line="240" w:lineRule="auto"/>
        <w:ind w:leftChars="0" w:firstLineChars="0"/>
      </w:pPr>
      <w:r w:rsidRPr="001E5BE1">
        <w:rPr>
          <w:rFonts w:ascii="Calibri" w:hAnsi="Calibri" w:cs="Calibri"/>
          <w:i/>
          <w:sz w:val="22"/>
          <w:szCs w:val="22"/>
        </w:rPr>
        <w:t>Planning in Gateway</w:t>
      </w:r>
      <w:r w:rsidRPr="00122F2A">
        <w:rPr>
          <w:rFonts w:ascii="Calibri" w:hAnsi="Calibri"/>
          <w:i/>
          <w:sz w:val="22"/>
          <w:szCs w:val="22"/>
        </w:rPr>
        <w:t xml:space="preserve"> and Amenity Communities: Understanding Unique Challenges Associated with Transportation, Mobility, and Access to Opportunity: </w:t>
      </w:r>
      <w:r w:rsidRPr="00122F2A">
        <w:rPr>
          <w:rFonts w:ascii="Calibri" w:hAnsi="Calibri"/>
          <w:sz w:val="22"/>
          <w:szCs w:val="22"/>
        </w:rPr>
        <w:t>Rumore was the PI on a NITC-funded research project ($200K budget) that document</w:t>
      </w:r>
      <w:r w:rsidR="00122F2A" w:rsidRPr="00122F2A">
        <w:rPr>
          <w:rFonts w:ascii="Calibri" w:hAnsi="Calibri"/>
          <w:sz w:val="22"/>
          <w:szCs w:val="22"/>
        </w:rPr>
        <w:t>ed</w:t>
      </w:r>
      <w:r w:rsidRPr="00122F2A">
        <w:rPr>
          <w:rFonts w:ascii="Calibri" w:hAnsi="Calibri"/>
          <w:sz w:val="22"/>
          <w:szCs w:val="22"/>
        </w:rPr>
        <w:t xml:space="preserve"> the unique planning and transportation challenges in gateway and natural amenity regions throughout the </w:t>
      </w:r>
      <w:r w:rsidR="00EC3BCC">
        <w:rPr>
          <w:rFonts w:ascii="Calibri" w:hAnsi="Calibri"/>
          <w:sz w:val="22"/>
          <w:szCs w:val="22"/>
        </w:rPr>
        <w:t>W</w:t>
      </w:r>
      <w:r w:rsidRPr="00122F2A">
        <w:rPr>
          <w:rFonts w:ascii="Calibri" w:hAnsi="Calibri"/>
          <w:sz w:val="22"/>
          <w:szCs w:val="22"/>
        </w:rPr>
        <w:t xml:space="preserve">est. </w:t>
      </w:r>
    </w:p>
    <w:p w14:paraId="2BA84BF0" w14:textId="7CB0D1BE" w:rsidR="003A2769" w:rsidRPr="00122F2A" w:rsidRDefault="003A2769" w:rsidP="000D4895">
      <w:pPr>
        <w:pStyle w:val="ListParagraph"/>
        <w:numPr>
          <w:ilvl w:val="0"/>
          <w:numId w:val="24"/>
        </w:numPr>
        <w:spacing w:line="240" w:lineRule="auto"/>
        <w:ind w:leftChars="0" w:firstLineChars="0"/>
      </w:pPr>
      <w:r w:rsidRPr="00122F2A">
        <w:rPr>
          <w:rFonts w:ascii="Calibri" w:hAnsi="Calibri"/>
          <w:i/>
          <w:sz w:val="22"/>
          <w:szCs w:val="22"/>
        </w:rPr>
        <w:t xml:space="preserve">Tools and Techniques for Teaching Collaborative Regional Planning to Enhance Livability and Sustainable Transportation: </w:t>
      </w:r>
      <w:r w:rsidRPr="00122F2A">
        <w:rPr>
          <w:rFonts w:ascii="Calibri" w:hAnsi="Calibri"/>
          <w:sz w:val="22"/>
          <w:szCs w:val="22"/>
        </w:rPr>
        <w:t>Rumore was the PI on a NITC-funded curricula development project ($80K budget) that developed and disseminated tools and techniques for teaching collaborative regional planning to enhance livability and sustainable transportation in gateway and amenity communities. The project produced academic instruction tools</w:t>
      </w:r>
      <w:r w:rsidR="00EC3BCC">
        <w:rPr>
          <w:rFonts w:ascii="Calibri" w:hAnsi="Calibri"/>
          <w:sz w:val="22"/>
          <w:szCs w:val="22"/>
        </w:rPr>
        <w:t xml:space="preserve">, as well as </w:t>
      </w:r>
      <w:r w:rsidRPr="00122F2A">
        <w:rPr>
          <w:rFonts w:ascii="Calibri" w:hAnsi="Calibri"/>
          <w:sz w:val="22"/>
          <w:szCs w:val="22"/>
        </w:rPr>
        <w:t xml:space="preserve">tools and resources for practitioners and community members. </w:t>
      </w:r>
    </w:p>
    <w:p w14:paraId="4F5C624A" w14:textId="59850AD5" w:rsidR="007A19EC" w:rsidRDefault="007A19EC">
      <w:pPr>
        <w:suppressAutoHyphens w:val="0"/>
        <w:ind w:leftChars="0" w:left="0" w:firstLineChars="0" w:firstLine="0"/>
        <w:textDirection w:val="lrTb"/>
        <w:textAlignment w:val="auto"/>
        <w:outlineLvl w:val="9"/>
        <w:rPr>
          <w:rFonts w:ascii="Calibri" w:hAnsi="Calibri"/>
          <w:i/>
        </w:rPr>
      </w:pPr>
      <w:r>
        <w:rPr>
          <w:rFonts w:ascii="Calibri" w:hAnsi="Calibri"/>
          <w:i/>
        </w:rPr>
        <w:br w:type="page"/>
      </w:r>
    </w:p>
    <w:p w14:paraId="5D21E745" w14:textId="5B7FC36F" w:rsidR="003A2769" w:rsidRPr="009604B2" w:rsidRDefault="003A2769" w:rsidP="000D4895">
      <w:pPr>
        <w:spacing w:after="0"/>
        <w:ind w:leftChars="0" w:left="0" w:firstLineChars="0" w:firstLine="0"/>
        <w:jc w:val="center"/>
        <w:rPr>
          <w:rFonts w:ascii="Calibri" w:hAnsi="Calibri"/>
          <w:b/>
          <w:sz w:val="28"/>
          <w:szCs w:val="28"/>
        </w:rPr>
      </w:pPr>
      <w:r w:rsidRPr="009604B2">
        <w:rPr>
          <w:rFonts w:ascii="Calibri" w:hAnsi="Calibri"/>
          <w:b/>
          <w:sz w:val="28"/>
          <w:szCs w:val="28"/>
        </w:rPr>
        <w:lastRenderedPageBreak/>
        <w:t>Philip Stoker</w:t>
      </w:r>
    </w:p>
    <w:p w14:paraId="78B23933" w14:textId="2A4DEC81" w:rsidR="003A2769" w:rsidRDefault="003A2769" w:rsidP="003A2769">
      <w:pPr>
        <w:spacing w:after="0"/>
        <w:ind w:left="1" w:hanging="3"/>
        <w:jc w:val="center"/>
        <w:rPr>
          <w:rFonts w:ascii="Calibri" w:hAnsi="Calibri"/>
          <w:b/>
          <w:sz w:val="28"/>
          <w:szCs w:val="28"/>
        </w:rPr>
      </w:pPr>
      <w:r w:rsidRPr="009604B2">
        <w:rPr>
          <w:rFonts w:ascii="Calibri" w:hAnsi="Calibri"/>
          <w:b/>
          <w:sz w:val="28"/>
          <w:szCs w:val="28"/>
        </w:rPr>
        <w:t>University of Arizona</w:t>
      </w:r>
    </w:p>
    <w:p w14:paraId="0A76D14E" w14:textId="77777777" w:rsidR="003A2769" w:rsidRPr="009604B2" w:rsidRDefault="003A2769" w:rsidP="003A2769">
      <w:pPr>
        <w:spacing w:after="0"/>
        <w:ind w:left="1" w:hanging="3"/>
        <w:jc w:val="center"/>
        <w:rPr>
          <w:rFonts w:ascii="Calibri" w:hAnsi="Calibri"/>
          <w:b/>
          <w:sz w:val="28"/>
          <w:szCs w:val="28"/>
        </w:rPr>
      </w:pPr>
    </w:p>
    <w:p w14:paraId="68495262" w14:textId="77777777" w:rsidR="003A2769" w:rsidRPr="009604B2" w:rsidRDefault="003A2769" w:rsidP="003A2769">
      <w:pPr>
        <w:spacing w:after="0"/>
        <w:ind w:left="0" w:hanging="2"/>
        <w:rPr>
          <w:rFonts w:ascii="Calibri" w:hAnsi="Calibri"/>
          <w:b/>
          <w:sz w:val="22"/>
          <w:szCs w:val="22"/>
        </w:rPr>
      </w:pPr>
      <w:r w:rsidRPr="009604B2">
        <w:rPr>
          <w:rFonts w:ascii="Calibri" w:hAnsi="Calibri"/>
          <w:b/>
          <w:sz w:val="22"/>
          <w:szCs w:val="22"/>
        </w:rPr>
        <w:t>A. Professional Preparation</w:t>
      </w:r>
    </w:p>
    <w:p w14:paraId="5FEA795A" w14:textId="012F318B" w:rsidR="003A2769" w:rsidRPr="009604B2" w:rsidRDefault="003A2769" w:rsidP="003A2769">
      <w:pPr>
        <w:spacing w:after="0"/>
        <w:ind w:left="0" w:hanging="2"/>
        <w:rPr>
          <w:rFonts w:ascii="Calibri" w:hAnsi="Calibri"/>
          <w:b/>
          <w:sz w:val="22"/>
          <w:szCs w:val="22"/>
        </w:rPr>
      </w:pPr>
      <w:r w:rsidRPr="009604B2">
        <w:rPr>
          <w:rFonts w:ascii="Calibri" w:hAnsi="Calibri"/>
          <w:sz w:val="22"/>
          <w:szCs w:val="22"/>
        </w:rPr>
        <w:t xml:space="preserve">University of Redlands, </w:t>
      </w:r>
      <w:r w:rsidRPr="009604B2">
        <w:rPr>
          <w:rFonts w:ascii="Calibri" w:hAnsi="Calibri"/>
          <w:sz w:val="22"/>
          <w:szCs w:val="22"/>
        </w:rPr>
        <w:tab/>
      </w:r>
      <w:r w:rsidRPr="009604B2">
        <w:rPr>
          <w:rFonts w:ascii="Calibri" w:hAnsi="Calibri"/>
          <w:sz w:val="22"/>
          <w:szCs w:val="22"/>
        </w:rPr>
        <w:tab/>
        <w:t>Redlands, CA</w:t>
      </w:r>
      <w:proofErr w:type="gramStart"/>
      <w:r w:rsidRPr="009604B2">
        <w:rPr>
          <w:rFonts w:ascii="Calibri" w:hAnsi="Calibri"/>
          <w:sz w:val="22"/>
          <w:szCs w:val="22"/>
        </w:rPr>
        <w:tab/>
      </w:r>
      <w:r>
        <w:rPr>
          <w:rFonts w:ascii="Calibri" w:hAnsi="Calibri"/>
          <w:sz w:val="22"/>
          <w:szCs w:val="22"/>
        </w:rPr>
        <w:t xml:space="preserve">  </w:t>
      </w:r>
      <w:r w:rsidRPr="009604B2">
        <w:rPr>
          <w:rFonts w:ascii="Calibri" w:hAnsi="Calibri"/>
          <w:sz w:val="22"/>
          <w:szCs w:val="22"/>
        </w:rPr>
        <w:t>Environmental</w:t>
      </w:r>
      <w:proofErr w:type="gramEnd"/>
      <w:r w:rsidRPr="009604B2">
        <w:rPr>
          <w:rFonts w:ascii="Calibri" w:hAnsi="Calibri"/>
          <w:sz w:val="22"/>
          <w:szCs w:val="22"/>
        </w:rPr>
        <w:t xml:space="preserve"> Management </w:t>
      </w:r>
      <w:r w:rsidRPr="009604B2">
        <w:rPr>
          <w:rFonts w:ascii="Calibri" w:hAnsi="Calibri"/>
          <w:sz w:val="22"/>
          <w:szCs w:val="22"/>
        </w:rPr>
        <w:tab/>
      </w:r>
      <w:r w:rsidRPr="009604B2">
        <w:rPr>
          <w:rFonts w:ascii="Calibri" w:hAnsi="Calibri"/>
          <w:sz w:val="22"/>
          <w:szCs w:val="22"/>
        </w:rPr>
        <w:tab/>
        <w:t xml:space="preserve">          </w:t>
      </w:r>
      <w:r>
        <w:rPr>
          <w:rFonts w:ascii="Calibri" w:hAnsi="Calibri"/>
          <w:sz w:val="22"/>
          <w:szCs w:val="22"/>
        </w:rPr>
        <w:t xml:space="preserve">  </w:t>
      </w:r>
      <w:r w:rsidRPr="009604B2">
        <w:rPr>
          <w:rFonts w:ascii="Calibri" w:hAnsi="Calibri"/>
          <w:sz w:val="22"/>
          <w:szCs w:val="22"/>
        </w:rPr>
        <w:t>B.S. 2008</w:t>
      </w:r>
    </w:p>
    <w:p w14:paraId="413E6649" w14:textId="5A537AED" w:rsidR="003A2769" w:rsidRPr="009604B2" w:rsidRDefault="003A2769" w:rsidP="003A2769">
      <w:pPr>
        <w:spacing w:after="0"/>
        <w:ind w:left="0" w:hanging="2"/>
        <w:rPr>
          <w:rFonts w:ascii="Calibri" w:hAnsi="Calibri"/>
          <w:b/>
          <w:sz w:val="22"/>
          <w:szCs w:val="22"/>
        </w:rPr>
      </w:pPr>
      <w:r w:rsidRPr="009604B2">
        <w:rPr>
          <w:rFonts w:ascii="Calibri" w:hAnsi="Calibri"/>
          <w:sz w:val="22"/>
          <w:szCs w:val="22"/>
        </w:rPr>
        <w:t xml:space="preserve">Simon Fraser University </w:t>
      </w:r>
      <w:r w:rsidRPr="009604B2">
        <w:rPr>
          <w:rFonts w:ascii="Calibri" w:hAnsi="Calibri"/>
          <w:sz w:val="22"/>
          <w:szCs w:val="22"/>
        </w:rPr>
        <w:tab/>
        <w:t>Vancouver, BC</w:t>
      </w:r>
      <w:r>
        <w:rPr>
          <w:rFonts w:ascii="Calibri" w:hAnsi="Calibri"/>
          <w:sz w:val="22"/>
          <w:szCs w:val="22"/>
        </w:rPr>
        <w:t xml:space="preserve"> </w:t>
      </w:r>
      <w:r w:rsidRPr="009604B2">
        <w:rPr>
          <w:rFonts w:ascii="Calibri" w:hAnsi="Calibri"/>
          <w:sz w:val="22"/>
          <w:szCs w:val="22"/>
        </w:rPr>
        <w:t xml:space="preserve">  </w:t>
      </w:r>
      <w:r>
        <w:rPr>
          <w:rFonts w:ascii="Calibri" w:hAnsi="Calibri"/>
          <w:sz w:val="22"/>
          <w:szCs w:val="22"/>
        </w:rPr>
        <w:t xml:space="preserve">  </w:t>
      </w:r>
      <w:r w:rsidRPr="009604B2">
        <w:rPr>
          <w:rFonts w:ascii="Calibri" w:hAnsi="Calibri"/>
          <w:sz w:val="22"/>
          <w:szCs w:val="22"/>
        </w:rPr>
        <w:t>Resource Management</w:t>
      </w:r>
      <w:r>
        <w:rPr>
          <w:rFonts w:ascii="Calibri" w:hAnsi="Calibri"/>
          <w:sz w:val="22"/>
          <w:szCs w:val="22"/>
        </w:rPr>
        <w:tab/>
        <w:t xml:space="preserve">                    </w:t>
      </w:r>
      <w:r w:rsidRPr="009604B2">
        <w:rPr>
          <w:rFonts w:ascii="Calibri" w:hAnsi="Calibri"/>
          <w:sz w:val="22"/>
          <w:szCs w:val="22"/>
        </w:rPr>
        <w:t>M.R.M. 2011</w:t>
      </w:r>
    </w:p>
    <w:p w14:paraId="11E6CA46" w14:textId="0A8C50B4" w:rsidR="003A2769" w:rsidRPr="009604B2" w:rsidRDefault="003A2769" w:rsidP="003A2769">
      <w:pPr>
        <w:spacing w:after="0"/>
        <w:ind w:left="0" w:hanging="2"/>
        <w:rPr>
          <w:rFonts w:ascii="Calibri" w:hAnsi="Calibri"/>
          <w:sz w:val="22"/>
          <w:szCs w:val="22"/>
        </w:rPr>
      </w:pPr>
      <w:r w:rsidRPr="009604B2">
        <w:rPr>
          <w:rFonts w:ascii="Calibri" w:hAnsi="Calibri"/>
          <w:sz w:val="22"/>
          <w:szCs w:val="22"/>
        </w:rPr>
        <w:t xml:space="preserve">University of Utah </w:t>
      </w:r>
      <w:r w:rsidRPr="009604B2">
        <w:rPr>
          <w:rFonts w:ascii="Calibri" w:hAnsi="Calibri"/>
          <w:sz w:val="22"/>
          <w:szCs w:val="22"/>
        </w:rPr>
        <w:tab/>
      </w:r>
      <w:r w:rsidRPr="009604B2">
        <w:rPr>
          <w:rFonts w:ascii="Calibri" w:hAnsi="Calibri"/>
          <w:sz w:val="22"/>
          <w:szCs w:val="22"/>
        </w:rPr>
        <w:tab/>
        <w:t>Salt Lake City</w:t>
      </w:r>
      <w:proofErr w:type="gramStart"/>
      <w:r w:rsidRPr="009604B2">
        <w:rPr>
          <w:rFonts w:ascii="Calibri" w:hAnsi="Calibri"/>
          <w:sz w:val="22"/>
          <w:szCs w:val="22"/>
        </w:rPr>
        <w:tab/>
      </w:r>
      <w:r>
        <w:rPr>
          <w:rFonts w:ascii="Calibri" w:hAnsi="Calibri"/>
          <w:sz w:val="22"/>
          <w:szCs w:val="22"/>
        </w:rPr>
        <w:t xml:space="preserve">  </w:t>
      </w:r>
      <w:r w:rsidRPr="009604B2">
        <w:rPr>
          <w:rFonts w:ascii="Calibri" w:hAnsi="Calibri"/>
          <w:sz w:val="22"/>
          <w:szCs w:val="22"/>
        </w:rPr>
        <w:t>City</w:t>
      </w:r>
      <w:proofErr w:type="gramEnd"/>
      <w:r w:rsidRPr="009604B2">
        <w:rPr>
          <w:rFonts w:ascii="Calibri" w:hAnsi="Calibri"/>
          <w:sz w:val="22"/>
          <w:szCs w:val="22"/>
        </w:rPr>
        <w:t xml:space="preserve"> and Metropolitan Planning </w:t>
      </w:r>
      <w:r w:rsidRPr="009604B2">
        <w:rPr>
          <w:rFonts w:ascii="Calibri" w:hAnsi="Calibri"/>
          <w:sz w:val="22"/>
          <w:szCs w:val="22"/>
        </w:rPr>
        <w:tab/>
        <w:t xml:space="preserve">      </w:t>
      </w:r>
      <w:r>
        <w:rPr>
          <w:rFonts w:ascii="Calibri" w:hAnsi="Calibri"/>
          <w:sz w:val="22"/>
          <w:szCs w:val="22"/>
        </w:rPr>
        <w:t xml:space="preserve"> </w:t>
      </w:r>
      <w:r w:rsidRPr="009604B2">
        <w:rPr>
          <w:rFonts w:ascii="Calibri" w:hAnsi="Calibri"/>
          <w:sz w:val="22"/>
          <w:szCs w:val="22"/>
        </w:rPr>
        <w:t xml:space="preserve">  Ph.D. 2015</w:t>
      </w:r>
    </w:p>
    <w:p w14:paraId="0EBE95AB" w14:textId="77777777" w:rsidR="003A2769" w:rsidRPr="009604B2" w:rsidRDefault="003A2769" w:rsidP="00244127">
      <w:pPr>
        <w:spacing w:after="0"/>
        <w:ind w:leftChars="0" w:left="0" w:firstLineChars="0" w:firstLine="0"/>
        <w:rPr>
          <w:rFonts w:ascii="Calibri" w:hAnsi="Calibri"/>
          <w:sz w:val="22"/>
          <w:szCs w:val="22"/>
        </w:rPr>
      </w:pPr>
    </w:p>
    <w:p w14:paraId="40806F47" w14:textId="77777777" w:rsidR="003A2769" w:rsidRPr="009604B2" w:rsidRDefault="003A2769" w:rsidP="003A2769">
      <w:pPr>
        <w:spacing w:after="0"/>
        <w:ind w:left="0" w:hanging="2"/>
        <w:rPr>
          <w:rFonts w:ascii="Calibri" w:hAnsi="Calibri"/>
          <w:b/>
          <w:sz w:val="22"/>
          <w:szCs w:val="22"/>
        </w:rPr>
      </w:pPr>
      <w:r w:rsidRPr="009604B2">
        <w:rPr>
          <w:rFonts w:ascii="Calibri" w:hAnsi="Calibri"/>
          <w:b/>
          <w:sz w:val="22"/>
          <w:szCs w:val="22"/>
        </w:rPr>
        <w:t>B.</w:t>
      </w:r>
      <w:r w:rsidRPr="009604B2">
        <w:rPr>
          <w:rFonts w:ascii="Calibri" w:hAnsi="Calibri"/>
          <w:sz w:val="22"/>
          <w:szCs w:val="22"/>
        </w:rPr>
        <w:t xml:space="preserve"> </w:t>
      </w:r>
      <w:r w:rsidRPr="009604B2">
        <w:rPr>
          <w:rFonts w:ascii="Calibri" w:hAnsi="Calibri"/>
          <w:b/>
          <w:sz w:val="22"/>
          <w:szCs w:val="22"/>
        </w:rPr>
        <w:t>Appointments</w:t>
      </w:r>
    </w:p>
    <w:p w14:paraId="1A39CC70" w14:textId="77777777" w:rsidR="003A2769" w:rsidRPr="009604B2" w:rsidRDefault="003A2769" w:rsidP="003A2769">
      <w:pPr>
        <w:tabs>
          <w:tab w:val="left" w:pos="720"/>
          <w:tab w:val="left" w:pos="1440"/>
          <w:tab w:val="left" w:pos="2160"/>
          <w:tab w:val="left" w:pos="2880"/>
          <w:tab w:val="left" w:pos="3600"/>
          <w:tab w:val="left" w:pos="4320"/>
          <w:tab w:val="left" w:pos="5040"/>
          <w:tab w:val="left" w:pos="5760"/>
          <w:tab w:val="left" w:pos="7050"/>
        </w:tabs>
        <w:spacing w:after="0"/>
        <w:ind w:left="0" w:hanging="2"/>
        <w:rPr>
          <w:rFonts w:ascii="Calibri" w:hAnsi="Calibri"/>
          <w:sz w:val="22"/>
          <w:szCs w:val="22"/>
        </w:rPr>
      </w:pPr>
      <w:r w:rsidRPr="009604B2">
        <w:rPr>
          <w:rFonts w:ascii="Calibri" w:hAnsi="Calibri"/>
          <w:sz w:val="22"/>
          <w:szCs w:val="22"/>
        </w:rPr>
        <w:t xml:space="preserve">2015-2016 </w:t>
      </w:r>
      <w:r w:rsidRPr="009604B2">
        <w:rPr>
          <w:rFonts w:ascii="Calibri" w:hAnsi="Calibri"/>
          <w:sz w:val="22"/>
          <w:szCs w:val="22"/>
        </w:rPr>
        <w:tab/>
        <w:t xml:space="preserve">University of Arizona Postdoctoral Research Associate </w:t>
      </w:r>
      <w:r w:rsidRPr="009604B2">
        <w:rPr>
          <w:rFonts w:ascii="Calibri" w:hAnsi="Calibri"/>
          <w:sz w:val="22"/>
          <w:szCs w:val="22"/>
        </w:rPr>
        <w:tab/>
      </w:r>
    </w:p>
    <w:p w14:paraId="3664AFC4" w14:textId="1B9D423F" w:rsidR="003A2769" w:rsidRPr="009604B2" w:rsidRDefault="003A2769" w:rsidP="003A2769">
      <w:pPr>
        <w:spacing w:after="0"/>
        <w:ind w:left="0" w:hanging="2"/>
        <w:rPr>
          <w:rFonts w:ascii="Calibri" w:hAnsi="Calibri"/>
          <w:sz w:val="22"/>
          <w:szCs w:val="22"/>
        </w:rPr>
      </w:pPr>
      <w:r w:rsidRPr="009604B2">
        <w:rPr>
          <w:rFonts w:ascii="Calibri" w:hAnsi="Calibri"/>
          <w:sz w:val="22"/>
          <w:szCs w:val="22"/>
        </w:rPr>
        <w:t>2016</w:t>
      </w:r>
      <w:r w:rsidR="00244127">
        <w:rPr>
          <w:rFonts w:ascii="Calibri" w:hAnsi="Calibri"/>
          <w:sz w:val="22"/>
          <w:szCs w:val="22"/>
        </w:rPr>
        <w:t>-</w:t>
      </w:r>
      <w:r w:rsidRPr="009604B2">
        <w:rPr>
          <w:rFonts w:ascii="Calibri" w:hAnsi="Calibri"/>
          <w:sz w:val="22"/>
          <w:szCs w:val="22"/>
        </w:rPr>
        <w:t>present</w:t>
      </w:r>
      <w:r w:rsidRPr="009604B2">
        <w:rPr>
          <w:rFonts w:ascii="Calibri" w:hAnsi="Calibri"/>
          <w:sz w:val="22"/>
          <w:szCs w:val="22"/>
        </w:rPr>
        <w:tab/>
        <w:t>University of Arizona Assistant Professor of Landscape Architecture and Planning</w:t>
      </w:r>
    </w:p>
    <w:p w14:paraId="4FB7CC31" w14:textId="4F2BC354" w:rsidR="003A2769" w:rsidRPr="009604B2" w:rsidRDefault="003A2769" w:rsidP="003A2769">
      <w:pPr>
        <w:spacing w:after="0"/>
        <w:ind w:left="0" w:hanging="2"/>
        <w:rPr>
          <w:rFonts w:ascii="Calibri" w:hAnsi="Calibri"/>
          <w:b/>
          <w:sz w:val="22"/>
          <w:szCs w:val="22"/>
        </w:rPr>
      </w:pPr>
    </w:p>
    <w:p w14:paraId="59215368" w14:textId="77777777" w:rsidR="003A2769" w:rsidRPr="009604B2" w:rsidRDefault="003A2769" w:rsidP="003A2769">
      <w:pPr>
        <w:spacing w:after="0"/>
        <w:ind w:left="0" w:hanging="2"/>
        <w:rPr>
          <w:rFonts w:ascii="Calibri" w:hAnsi="Calibri"/>
          <w:b/>
          <w:sz w:val="22"/>
          <w:szCs w:val="22"/>
        </w:rPr>
      </w:pPr>
      <w:r w:rsidRPr="009604B2">
        <w:rPr>
          <w:rFonts w:ascii="Calibri" w:hAnsi="Calibri"/>
          <w:b/>
          <w:sz w:val="22"/>
          <w:szCs w:val="22"/>
        </w:rPr>
        <w:t>C. Products</w:t>
      </w:r>
    </w:p>
    <w:p w14:paraId="6E89B44A" w14:textId="77777777" w:rsidR="003A2769" w:rsidRPr="009604B2" w:rsidRDefault="003A2769" w:rsidP="00244127">
      <w:pPr>
        <w:spacing w:before="120" w:after="0"/>
        <w:ind w:leftChars="0" w:left="2" w:hanging="2"/>
        <w:rPr>
          <w:rFonts w:ascii="Calibri" w:hAnsi="Calibri"/>
          <w:b/>
          <w:sz w:val="22"/>
          <w:szCs w:val="22"/>
        </w:rPr>
      </w:pPr>
      <w:r w:rsidRPr="009604B2">
        <w:rPr>
          <w:rFonts w:ascii="Calibri" w:hAnsi="Calibri"/>
          <w:b/>
          <w:sz w:val="22"/>
          <w:szCs w:val="22"/>
        </w:rPr>
        <w:t>Related to project:</w:t>
      </w:r>
    </w:p>
    <w:p w14:paraId="388EE915" w14:textId="51E5A282" w:rsidR="00040AFD" w:rsidRDefault="00040AFD" w:rsidP="00040AFD">
      <w:pPr>
        <w:pStyle w:val="BodyText"/>
        <w:numPr>
          <w:ilvl w:val="0"/>
          <w:numId w:val="25"/>
        </w:numPr>
        <w:ind w:right="461"/>
        <w:textDirection w:val="btLr"/>
        <w:rPr>
          <w:rFonts w:ascii="Calibri" w:eastAsia="Cambria" w:hAnsi="Calibri"/>
          <w:sz w:val="22"/>
          <w:szCs w:val="22"/>
        </w:rPr>
      </w:pPr>
      <w:r w:rsidRPr="003A2769">
        <w:rPr>
          <w:rFonts w:ascii="Calibri" w:eastAsia="Cambria" w:hAnsi="Calibri"/>
          <w:sz w:val="22"/>
          <w:szCs w:val="22"/>
        </w:rPr>
        <w:t xml:space="preserve">Stoker, P., D. Rumore, L. </w:t>
      </w:r>
      <w:proofErr w:type="spellStart"/>
      <w:r w:rsidRPr="003A2769">
        <w:rPr>
          <w:rFonts w:ascii="Calibri" w:eastAsia="Cambria" w:hAnsi="Calibri"/>
          <w:sz w:val="22"/>
          <w:szCs w:val="22"/>
        </w:rPr>
        <w:t>Romaniello</w:t>
      </w:r>
      <w:proofErr w:type="spellEnd"/>
      <w:r w:rsidRPr="003A2769">
        <w:rPr>
          <w:rFonts w:ascii="Calibri" w:eastAsia="Cambria" w:hAnsi="Calibri"/>
          <w:sz w:val="22"/>
          <w:szCs w:val="22"/>
        </w:rPr>
        <w:t>, and Z. Levine</w:t>
      </w:r>
      <w:r w:rsidR="004930AD">
        <w:rPr>
          <w:rFonts w:ascii="Calibri" w:eastAsia="Cambria" w:hAnsi="Calibri"/>
          <w:sz w:val="22"/>
          <w:szCs w:val="22"/>
        </w:rPr>
        <w:t>.</w:t>
      </w:r>
      <w:r w:rsidRPr="003A2769">
        <w:rPr>
          <w:rFonts w:ascii="Calibri" w:eastAsia="Cambria" w:hAnsi="Calibri"/>
          <w:sz w:val="22"/>
          <w:szCs w:val="22"/>
        </w:rPr>
        <w:t xml:space="preserve"> (2021)</w:t>
      </w:r>
      <w:r w:rsidR="004930AD">
        <w:rPr>
          <w:rFonts w:ascii="Calibri" w:eastAsia="Cambria" w:hAnsi="Calibri"/>
          <w:sz w:val="22"/>
          <w:szCs w:val="22"/>
        </w:rPr>
        <w:t>.</w:t>
      </w:r>
      <w:r w:rsidRPr="003A2769">
        <w:rPr>
          <w:rFonts w:ascii="Calibri" w:eastAsia="Cambria" w:hAnsi="Calibri"/>
          <w:sz w:val="22"/>
          <w:szCs w:val="22"/>
        </w:rPr>
        <w:t xml:space="preserve"> Planning and development challenges in western gateway communities. </w:t>
      </w:r>
      <w:r w:rsidRPr="000D4895">
        <w:rPr>
          <w:rFonts w:ascii="Calibri" w:eastAsia="Cambria" w:hAnsi="Calibri"/>
          <w:i/>
          <w:sz w:val="22"/>
          <w:szCs w:val="22"/>
        </w:rPr>
        <w:t>Journal of the American Planning Association</w:t>
      </w:r>
      <w:r w:rsidRPr="003A2769">
        <w:rPr>
          <w:rFonts w:ascii="Calibri" w:eastAsia="Cambria" w:hAnsi="Calibri"/>
          <w:sz w:val="22"/>
          <w:szCs w:val="22"/>
        </w:rPr>
        <w:t>, 87(1): 21-33</w:t>
      </w:r>
    </w:p>
    <w:p w14:paraId="5D909E9F" w14:textId="5350FE90" w:rsidR="00040AFD" w:rsidRPr="00C63A0D" w:rsidRDefault="00040AFD" w:rsidP="00040AFD">
      <w:pPr>
        <w:pStyle w:val="BodyText"/>
        <w:numPr>
          <w:ilvl w:val="0"/>
          <w:numId w:val="25"/>
        </w:numPr>
        <w:ind w:right="461"/>
        <w:textDirection w:val="btLr"/>
        <w:rPr>
          <w:rFonts w:ascii="Calibri" w:eastAsia="Cambria" w:hAnsi="Calibri"/>
          <w:sz w:val="22"/>
          <w:szCs w:val="22"/>
        </w:rPr>
      </w:pPr>
      <w:r w:rsidRPr="00C63A0D">
        <w:rPr>
          <w:rFonts w:ascii="Calibri" w:hAnsi="Calibri"/>
          <w:sz w:val="22"/>
        </w:rPr>
        <w:t xml:space="preserve">Rumore, D., J. Smith, J. Powell, P. Stoker, L. </w:t>
      </w:r>
      <w:proofErr w:type="spellStart"/>
      <w:r w:rsidRPr="00C63A0D">
        <w:rPr>
          <w:rFonts w:ascii="Calibri" w:hAnsi="Calibri"/>
          <w:sz w:val="22"/>
        </w:rPr>
        <w:t>Romaniello</w:t>
      </w:r>
      <w:proofErr w:type="spellEnd"/>
      <w:r w:rsidRPr="00C63A0D">
        <w:rPr>
          <w:rFonts w:ascii="Calibri" w:hAnsi="Calibri"/>
          <w:sz w:val="22"/>
        </w:rPr>
        <w:t xml:space="preserve">, Z. Miller, B. </w:t>
      </w:r>
      <w:proofErr w:type="spellStart"/>
      <w:r w:rsidRPr="00C63A0D">
        <w:rPr>
          <w:rFonts w:ascii="Calibri" w:hAnsi="Calibri"/>
          <w:sz w:val="22"/>
        </w:rPr>
        <w:t>Adini</w:t>
      </w:r>
      <w:proofErr w:type="spellEnd"/>
      <w:r w:rsidRPr="00C63A0D">
        <w:rPr>
          <w:rFonts w:ascii="Calibri" w:hAnsi="Calibri"/>
          <w:sz w:val="22"/>
        </w:rPr>
        <w:t xml:space="preserve">, I. Hui, C. Flint, </w:t>
      </w:r>
      <w:r w:rsidR="001F0E12">
        <w:rPr>
          <w:rFonts w:ascii="Calibri" w:hAnsi="Calibri"/>
          <w:sz w:val="22"/>
        </w:rPr>
        <w:t xml:space="preserve">and </w:t>
      </w:r>
      <w:r w:rsidRPr="00C63A0D">
        <w:rPr>
          <w:rFonts w:ascii="Calibri" w:hAnsi="Calibri"/>
          <w:sz w:val="22"/>
        </w:rPr>
        <w:t>D. Albrecht</w:t>
      </w:r>
      <w:r w:rsidR="004930AD">
        <w:rPr>
          <w:rFonts w:ascii="Calibri" w:hAnsi="Calibri"/>
          <w:sz w:val="22"/>
        </w:rPr>
        <w:t>.</w:t>
      </w:r>
      <w:r w:rsidRPr="00C63A0D">
        <w:rPr>
          <w:rFonts w:ascii="Calibri" w:hAnsi="Calibri"/>
          <w:sz w:val="22"/>
        </w:rPr>
        <w:t xml:space="preserve"> (2020)</w:t>
      </w:r>
      <w:r w:rsidR="004930AD">
        <w:rPr>
          <w:rFonts w:ascii="Calibri" w:hAnsi="Calibri"/>
          <w:sz w:val="22"/>
        </w:rPr>
        <w:t>.</w:t>
      </w:r>
      <w:r w:rsidRPr="00C63A0D">
        <w:rPr>
          <w:rFonts w:ascii="Calibri" w:hAnsi="Calibri"/>
          <w:sz w:val="22"/>
        </w:rPr>
        <w:t xml:space="preserve"> </w:t>
      </w:r>
      <w:r w:rsidRPr="000D4895">
        <w:rPr>
          <w:rFonts w:ascii="Calibri" w:hAnsi="Calibri"/>
          <w:i/>
          <w:sz w:val="22"/>
        </w:rPr>
        <w:t>Research-agenda setting paper: gateway communities and the impacts of COVID-19</w:t>
      </w:r>
      <w:r w:rsidRPr="00C63A0D">
        <w:rPr>
          <w:rFonts w:ascii="Calibri" w:hAnsi="Calibri"/>
          <w:sz w:val="22"/>
        </w:rPr>
        <w:t>. CONVERGE COVID-19 Working Groups for Public Health and Social Sciences Research, National Science Foundation.</w:t>
      </w:r>
    </w:p>
    <w:p w14:paraId="10222B5B" w14:textId="6373A34F" w:rsidR="00040AFD" w:rsidRPr="003A2769" w:rsidRDefault="00040AFD" w:rsidP="00040AFD">
      <w:pPr>
        <w:pStyle w:val="ListParagraph"/>
        <w:numPr>
          <w:ilvl w:val="0"/>
          <w:numId w:val="25"/>
        </w:numPr>
        <w:suppressAutoHyphens w:val="0"/>
        <w:spacing w:after="0" w:line="240" w:lineRule="auto"/>
        <w:ind w:leftChars="0" w:firstLineChars="0"/>
        <w:textDirection w:val="lrTb"/>
        <w:textAlignment w:val="auto"/>
        <w:outlineLvl w:val="9"/>
        <w:rPr>
          <w:rFonts w:ascii="Calibri" w:hAnsi="Calibri"/>
          <w:sz w:val="22"/>
          <w:szCs w:val="22"/>
        </w:rPr>
      </w:pPr>
      <w:r w:rsidRPr="003A2769">
        <w:rPr>
          <w:rFonts w:ascii="Calibri" w:hAnsi="Calibri"/>
          <w:sz w:val="22"/>
          <w:szCs w:val="22"/>
        </w:rPr>
        <w:t xml:space="preserve">Rumore, D., P. Stoker, Z. Levine, and L. </w:t>
      </w:r>
      <w:proofErr w:type="spellStart"/>
      <w:r w:rsidRPr="003A2769">
        <w:rPr>
          <w:rFonts w:ascii="Calibri" w:hAnsi="Calibri"/>
          <w:sz w:val="22"/>
          <w:szCs w:val="22"/>
        </w:rPr>
        <w:t>Romaniello</w:t>
      </w:r>
      <w:proofErr w:type="spellEnd"/>
      <w:r w:rsidR="004930AD">
        <w:rPr>
          <w:rFonts w:ascii="Calibri" w:hAnsi="Calibri"/>
          <w:sz w:val="22"/>
          <w:szCs w:val="22"/>
        </w:rPr>
        <w:t>.</w:t>
      </w:r>
      <w:r w:rsidRPr="003A2769">
        <w:rPr>
          <w:rFonts w:ascii="Calibri" w:hAnsi="Calibri"/>
          <w:sz w:val="22"/>
          <w:szCs w:val="22"/>
        </w:rPr>
        <w:t xml:space="preserve"> (2019)</w:t>
      </w:r>
      <w:r w:rsidR="004930AD">
        <w:rPr>
          <w:rFonts w:ascii="Calibri" w:hAnsi="Calibri"/>
          <w:sz w:val="22"/>
          <w:szCs w:val="22"/>
        </w:rPr>
        <w:t>.</w:t>
      </w:r>
      <w:r w:rsidRPr="003A2769">
        <w:rPr>
          <w:rFonts w:ascii="Calibri" w:hAnsi="Calibri"/>
          <w:sz w:val="22"/>
          <w:szCs w:val="22"/>
        </w:rPr>
        <w:t xml:space="preserve"> </w:t>
      </w:r>
      <w:r w:rsidRPr="000D4895">
        <w:rPr>
          <w:rFonts w:ascii="Calibri" w:hAnsi="Calibri"/>
          <w:i/>
          <w:sz w:val="22"/>
          <w:szCs w:val="22"/>
        </w:rPr>
        <w:t>Planning in gateway and natural amenity region communities: understanding the unique challenges associated with transportation, mobility, and livability</w:t>
      </w:r>
      <w:r w:rsidRPr="003A2769">
        <w:rPr>
          <w:rFonts w:ascii="Calibri" w:hAnsi="Calibri"/>
          <w:i/>
          <w:iCs/>
          <w:sz w:val="22"/>
          <w:szCs w:val="22"/>
        </w:rPr>
        <w:t xml:space="preserve">. </w:t>
      </w:r>
      <w:r w:rsidRPr="003A2769">
        <w:rPr>
          <w:rFonts w:ascii="Calibri" w:hAnsi="Calibri"/>
          <w:sz w:val="22"/>
          <w:szCs w:val="22"/>
        </w:rPr>
        <w:t>NITC-RR-1118. Portland, OR: Transportation Research and Education Center (TREC).</w:t>
      </w:r>
    </w:p>
    <w:p w14:paraId="3263C797" w14:textId="71983129" w:rsidR="00040AFD" w:rsidRDefault="003A2769" w:rsidP="00040AFD">
      <w:pPr>
        <w:pStyle w:val="ListParagraph"/>
        <w:numPr>
          <w:ilvl w:val="0"/>
          <w:numId w:val="25"/>
        </w:numPr>
        <w:suppressAutoHyphens w:val="0"/>
        <w:spacing w:after="0"/>
        <w:ind w:leftChars="0" w:firstLineChars="0"/>
        <w:textDirection w:val="lrTb"/>
        <w:textAlignment w:val="auto"/>
        <w:outlineLvl w:val="9"/>
        <w:rPr>
          <w:rFonts w:ascii="Calibri" w:hAnsi="Calibri"/>
          <w:sz w:val="22"/>
          <w:szCs w:val="22"/>
        </w:rPr>
      </w:pPr>
      <w:r w:rsidRPr="00040AFD">
        <w:rPr>
          <w:rFonts w:ascii="Calibri" w:hAnsi="Calibri"/>
          <w:sz w:val="22"/>
          <w:szCs w:val="22"/>
        </w:rPr>
        <w:t>Hamidi, S., Stoker, P</w:t>
      </w:r>
      <w:r w:rsidR="004930AD">
        <w:rPr>
          <w:rFonts w:ascii="Calibri" w:hAnsi="Calibri"/>
          <w:sz w:val="22"/>
          <w:szCs w:val="22"/>
        </w:rPr>
        <w:t>.</w:t>
      </w:r>
      <w:r w:rsidRPr="00040AFD">
        <w:rPr>
          <w:rFonts w:ascii="Calibri" w:hAnsi="Calibri"/>
          <w:sz w:val="22"/>
          <w:szCs w:val="22"/>
        </w:rPr>
        <w:t xml:space="preserve"> (2016). </w:t>
      </w:r>
      <w:r w:rsidRPr="000D4895">
        <w:rPr>
          <w:rFonts w:ascii="Calibri" w:hAnsi="Calibri"/>
          <w:i/>
          <w:sz w:val="22"/>
          <w:szCs w:val="22"/>
        </w:rPr>
        <w:t>Pedestrian and Transit Oriented Design Course</w:t>
      </w:r>
      <w:r w:rsidRPr="00040AFD">
        <w:rPr>
          <w:rFonts w:ascii="Calibri" w:hAnsi="Calibri"/>
          <w:sz w:val="22"/>
          <w:szCs w:val="22"/>
        </w:rPr>
        <w:t>. NITC final report.</w:t>
      </w:r>
    </w:p>
    <w:p w14:paraId="62FC3969" w14:textId="6DD8911C" w:rsidR="003A2769" w:rsidRPr="00040AFD" w:rsidRDefault="003A2769" w:rsidP="000D4895">
      <w:pPr>
        <w:pStyle w:val="ListParagraph"/>
        <w:numPr>
          <w:ilvl w:val="0"/>
          <w:numId w:val="25"/>
        </w:numPr>
        <w:suppressAutoHyphens w:val="0"/>
        <w:spacing w:after="0" w:line="240" w:lineRule="auto"/>
        <w:ind w:leftChars="0" w:firstLineChars="0"/>
        <w:textDirection w:val="lrTb"/>
        <w:textAlignment w:val="auto"/>
        <w:outlineLvl w:val="9"/>
        <w:rPr>
          <w:rFonts w:ascii="Calibri" w:hAnsi="Calibri"/>
          <w:sz w:val="22"/>
          <w:szCs w:val="22"/>
        </w:rPr>
      </w:pPr>
      <w:r w:rsidRPr="00040AFD">
        <w:rPr>
          <w:rFonts w:ascii="Calibri" w:hAnsi="Calibri"/>
          <w:sz w:val="22"/>
          <w:szCs w:val="22"/>
        </w:rPr>
        <w:t xml:space="preserve">Stoker, P., Adkins, A., Ewing, R. (2016). Walking Safety and Health.  In </w:t>
      </w:r>
      <w:r w:rsidRPr="000D4895">
        <w:rPr>
          <w:rFonts w:ascii="Calibri" w:hAnsi="Calibri"/>
          <w:i/>
          <w:sz w:val="22"/>
          <w:szCs w:val="22"/>
        </w:rPr>
        <w:t>Walking: Connecting Sustainable Transport with Health</w:t>
      </w:r>
      <w:r w:rsidRPr="00040AFD">
        <w:rPr>
          <w:rFonts w:ascii="Calibri" w:hAnsi="Calibri"/>
          <w:sz w:val="22"/>
          <w:szCs w:val="22"/>
        </w:rPr>
        <w:t xml:space="preserve">. Emerald Books. In Press. </w:t>
      </w:r>
    </w:p>
    <w:p w14:paraId="5825C221" w14:textId="77777777" w:rsidR="00040AFD" w:rsidRDefault="00040AFD" w:rsidP="003A2769">
      <w:pPr>
        <w:spacing w:after="0"/>
        <w:ind w:left="0" w:hanging="2"/>
        <w:rPr>
          <w:rFonts w:ascii="Calibri" w:hAnsi="Calibri"/>
          <w:b/>
          <w:sz w:val="22"/>
          <w:szCs w:val="22"/>
        </w:rPr>
      </w:pPr>
    </w:p>
    <w:p w14:paraId="6DA1F5E4" w14:textId="77777777" w:rsidR="00AB4247" w:rsidRPr="000D4895" w:rsidRDefault="00AB4247" w:rsidP="000D4895">
      <w:pPr>
        <w:autoSpaceDE w:val="0"/>
        <w:autoSpaceDN w:val="0"/>
        <w:adjustRightInd w:val="0"/>
        <w:spacing w:after="0" w:line="240" w:lineRule="auto"/>
        <w:ind w:leftChars="0" w:left="0" w:firstLineChars="0" w:hanging="2"/>
        <w:jc w:val="both"/>
        <w:rPr>
          <w:rFonts w:ascii="Calibri" w:hAnsi="Calibri"/>
          <w:b/>
          <w:sz w:val="22"/>
          <w:szCs w:val="22"/>
        </w:rPr>
      </w:pPr>
      <w:r w:rsidRPr="000D4895">
        <w:rPr>
          <w:rFonts w:ascii="Calibri" w:hAnsi="Calibri"/>
          <w:b/>
          <w:sz w:val="22"/>
          <w:szCs w:val="22"/>
        </w:rPr>
        <w:t>Other significant products:</w:t>
      </w:r>
    </w:p>
    <w:p w14:paraId="742A12BA" w14:textId="77777777" w:rsidR="00040AFD" w:rsidRDefault="003A2769" w:rsidP="000D4895">
      <w:pPr>
        <w:pStyle w:val="ListParagraph"/>
        <w:numPr>
          <w:ilvl w:val="0"/>
          <w:numId w:val="26"/>
        </w:numPr>
        <w:suppressAutoHyphens w:val="0"/>
        <w:spacing w:after="0" w:line="240" w:lineRule="auto"/>
        <w:ind w:leftChars="0" w:firstLineChars="0"/>
        <w:textDirection w:val="lrTb"/>
        <w:textAlignment w:val="auto"/>
        <w:outlineLvl w:val="9"/>
        <w:rPr>
          <w:rFonts w:ascii="Calibri" w:hAnsi="Calibri"/>
          <w:sz w:val="22"/>
          <w:szCs w:val="22"/>
        </w:rPr>
      </w:pPr>
      <w:r w:rsidRPr="009604B2">
        <w:rPr>
          <w:rFonts w:ascii="Calibri" w:hAnsi="Calibri"/>
          <w:sz w:val="22"/>
          <w:szCs w:val="22"/>
        </w:rPr>
        <w:t>Stoker, P.,</w:t>
      </w:r>
      <w:r w:rsidRPr="009604B2">
        <w:rPr>
          <w:rFonts w:ascii="Calibri" w:hAnsi="Calibri"/>
          <w:b/>
          <w:sz w:val="22"/>
          <w:szCs w:val="22"/>
        </w:rPr>
        <w:t xml:space="preserve"> </w:t>
      </w:r>
      <w:r w:rsidRPr="009604B2">
        <w:rPr>
          <w:rFonts w:ascii="Calibri" w:hAnsi="Calibri"/>
          <w:sz w:val="22"/>
          <w:szCs w:val="22"/>
        </w:rPr>
        <w:t xml:space="preserve">Chang, H., Wentz, E., Crow-Miller, B., Jehle, G., Bonnette, M. (2019). Building water-efficient cities: A comparative analysis of how the built environment influences water use in four wester US cities. </w:t>
      </w:r>
      <w:r w:rsidRPr="000D4895">
        <w:rPr>
          <w:rFonts w:ascii="Calibri" w:hAnsi="Calibri"/>
          <w:i/>
          <w:sz w:val="22"/>
          <w:szCs w:val="22"/>
        </w:rPr>
        <w:t>Journal of the American Planning Association</w:t>
      </w:r>
      <w:r w:rsidRPr="009604B2">
        <w:rPr>
          <w:rFonts w:ascii="Calibri" w:hAnsi="Calibri"/>
          <w:sz w:val="22"/>
          <w:szCs w:val="22"/>
        </w:rPr>
        <w:t xml:space="preserve">. 1-14.  </w:t>
      </w:r>
    </w:p>
    <w:p w14:paraId="61230E80" w14:textId="77777777" w:rsidR="00040AFD" w:rsidRDefault="003A2769" w:rsidP="000D4895">
      <w:pPr>
        <w:pStyle w:val="ListParagraph"/>
        <w:numPr>
          <w:ilvl w:val="0"/>
          <w:numId w:val="26"/>
        </w:numPr>
        <w:suppressAutoHyphens w:val="0"/>
        <w:spacing w:after="0" w:line="240" w:lineRule="auto"/>
        <w:ind w:leftChars="0" w:firstLineChars="0"/>
        <w:textDirection w:val="lrTb"/>
        <w:textAlignment w:val="auto"/>
        <w:outlineLvl w:val="9"/>
        <w:rPr>
          <w:rFonts w:ascii="Calibri" w:hAnsi="Calibri"/>
          <w:sz w:val="22"/>
          <w:szCs w:val="22"/>
        </w:rPr>
      </w:pPr>
      <w:r w:rsidRPr="00040AFD">
        <w:rPr>
          <w:rFonts w:ascii="Calibri" w:hAnsi="Calibri"/>
          <w:sz w:val="22"/>
          <w:szCs w:val="22"/>
        </w:rPr>
        <w:t xml:space="preserve">Zuniga-Teran, A., Stoker, P, </w:t>
      </w:r>
      <w:proofErr w:type="spellStart"/>
      <w:r w:rsidRPr="00040AFD">
        <w:rPr>
          <w:rFonts w:ascii="Calibri" w:hAnsi="Calibri"/>
          <w:sz w:val="22"/>
          <w:szCs w:val="22"/>
        </w:rPr>
        <w:t>Gimblett</w:t>
      </w:r>
      <w:proofErr w:type="spellEnd"/>
      <w:r w:rsidRPr="00040AFD">
        <w:rPr>
          <w:rFonts w:ascii="Calibri" w:hAnsi="Calibri"/>
          <w:sz w:val="22"/>
          <w:szCs w:val="22"/>
        </w:rPr>
        <w:t xml:space="preserve">, R., Orr, BJ., Marsh, S., Guertin, P. (2019). Exploring the influence of neighborhood walkability on the frequency of use of greenspace. </w:t>
      </w:r>
      <w:r w:rsidRPr="000D4895">
        <w:rPr>
          <w:rFonts w:ascii="Calibri" w:hAnsi="Calibri"/>
          <w:i/>
          <w:sz w:val="22"/>
          <w:szCs w:val="22"/>
        </w:rPr>
        <w:t>Landscape and Urban Planning</w:t>
      </w:r>
      <w:r w:rsidRPr="00040AFD">
        <w:rPr>
          <w:rFonts w:ascii="Calibri" w:hAnsi="Calibri"/>
          <w:sz w:val="22"/>
          <w:szCs w:val="22"/>
        </w:rPr>
        <w:t xml:space="preserve"> 190.  </w:t>
      </w:r>
      <w:r w:rsidRPr="00040AFD">
        <w:rPr>
          <w:rFonts w:ascii="Calibri" w:hAnsi="Calibri"/>
          <w:b/>
          <w:sz w:val="22"/>
          <w:szCs w:val="22"/>
        </w:rPr>
        <w:t xml:space="preserve"> </w:t>
      </w:r>
    </w:p>
    <w:p w14:paraId="2DFD1D78" w14:textId="77777777" w:rsidR="00040AFD" w:rsidRDefault="003A2769" w:rsidP="000D4895">
      <w:pPr>
        <w:pStyle w:val="ListParagraph"/>
        <w:numPr>
          <w:ilvl w:val="0"/>
          <w:numId w:val="26"/>
        </w:numPr>
        <w:suppressAutoHyphens w:val="0"/>
        <w:spacing w:after="0" w:line="240" w:lineRule="auto"/>
        <w:ind w:leftChars="0" w:firstLineChars="0"/>
        <w:textDirection w:val="lrTb"/>
        <w:textAlignment w:val="auto"/>
        <w:outlineLvl w:val="9"/>
        <w:rPr>
          <w:rFonts w:ascii="Calibri" w:hAnsi="Calibri"/>
          <w:sz w:val="22"/>
          <w:szCs w:val="22"/>
        </w:rPr>
      </w:pPr>
      <w:r w:rsidRPr="00040AFD">
        <w:rPr>
          <w:rFonts w:ascii="Calibri" w:hAnsi="Calibri"/>
          <w:sz w:val="22"/>
          <w:szCs w:val="22"/>
        </w:rPr>
        <w:t xml:space="preserve">Nelson, A., Stoker, P, Hibberd, R. (2018). Light Rail Transit and Economic Recovery. A Case of Resilience or Transformation? </w:t>
      </w:r>
      <w:r w:rsidRPr="000D4895">
        <w:rPr>
          <w:rFonts w:ascii="Calibri" w:hAnsi="Calibri"/>
          <w:i/>
          <w:sz w:val="22"/>
          <w:szCs w:val="22"/>
        </w:rPr>
        <w:t>Research in Transportation Economics</w:t>
      </w:r>
      <w:r w:rsidRPr="00040AFD">
        <w:rPr>
          <w:rFonts w:ascii="Calibri" w:hAnsi="Calibri"/>
          <w:sz w:val="22"/>
          <w:szCs w:val="22"/>
        </w:rPr>
        <w:t xml:space="preserve">.  </w:t>
      </w:r>
    </w:p>
    <w:p w14:paraId="17CAFEC9" w14:textId="77777777" w:rsidR="00040AFD" w:rsidRDefault="003A2769" w:rsidP="000D4895">
      <w:pPr>
        <w:pStyle w:val="ListParagraph"/>
        <w:numPr>
          <w:ilvl w:val="0"/>
          <w:numId w:val="26"/>
        </w:numPr>
        <w:suppressAutoHyphens w:val="0"/>
        <w:spacing w:after="0" w:line="240" w:lineRule="auto"/>
        <w:ind w:leftChars="0" w:firstLineChars="0"/>
        <w:textDirection w:val="lrTb"/>
        <w:textAlignment w:val="auto"/>
        <w:outlineLvl w:val="9"/>
        <w:rPr>
          <w:rFonts w:ascii="Calibri" w:hAnsi="Calibri"/>
          <w:sz w:val="22"/>
          <w:szCs w:val="22"/>
        </w:rPr>
      </w:pPr>
      <w:r w:rsidRPr="00040AFD">
        <w:rPr>
          <w:rFonts w:ascii="Calibri" w:hAnsi="Calibri"/>
          <w:sz w:val="22"/>
          <w:szCs w:val="22"/>
        </w:rPr>
        <w:t xml:space="preserve">Stoker, P., </w:t>
      </w:r>
      <w:proofErr w:type="spellStart"/>
      <w:r w:rsidRPr="00040AFD">
        <w:rPr>
          <w:rFonts w:ascii="Calibri" w:hAnsi="Calibri"/>
          <w:sz w:val="22"/>
          <w:szCs w:val="22"/>
        </w:rPr>
        <w:t>Hinners</w:t>
      </w:r>
      <w:proofErr w:type="spellEnd"/>
      <w:r w:rsidRPr="00040AFD">
        <w:rPr>
          <w:rFonts w:ascii="Calibri" w:hAnsi="Calibri"/>
          <w:sz w:val="22"/>
          <w:szCs w:val="22"/>
        </w:rPr>
        <w:t xml:space="preserve">, S., Jackson-Smith, D., Levine, Z. (2019). Neighborhood Effects on Urban Water Use. </w:t>
      </w:r>
      <w:r w:rsidRPr="000D4895">
        <w:rPr>
          <w:rFonts w:ascii="Calibri" w:hAnsi="Calibri"/>
          <w:i/>
          <w:sz w:val="22"/>
          <w:szCs w:val="22"/>
        </w:rPr>
        <w:t>Sustainable Water Resources Management</w:t>
      </w:r>
      <w:r w:rsidRPr="00040AFD">
        <w:rPr>
          <w:rFonts w:ascii="Calibri" w:hAnsi="Calibri"/>
          <w:sz w:val="22"/>
          <w:szCs w:val="22"/>
        </w:rPr>
        <w:t>.</w:t>
      </w:r>
    </w:p>
    <w:p w14:paraId="57D4673B" w14:textId="62C7518C" w:rsidR="003A2769" w:rsidRPr="00040AFD" w:rsidRDefault="003A2769" w:rsidP="000D4895">
      <w:pPr>
        <w:pStyle w:val="ListParagraph"/>
        <w:numPr>
          <w:ilvl w:val="0"/>
          <w:numId w:val="26"/>
        </w:numPr>
        <w:suppressAutoHyphens w:val="0"/>
        <w:spacing w:after="0" w:line="240" w:lineRule="auto"/>
        <w:ind w:leftChars="0" w:firstLineChars="0"/>
        <w:textDirection w:val="lrTb"/>
        <w:textAlignment w:val="auto"/>
        <w:outlineLvl w:val="9"/>
        <w:rPr>
          <w:rFonts w:ascii="Calibri" w:hAnsi="Calibri"/>
          <w:sz w:val="22"/>
          <w:szCs w:val="22"/>
        </w:rPr>
      </w:pPr>
      <w:r w:rsidRPr="00040AFD">
        <w:rPr>
          <w:rFonts w:ascii="Calibri" w:hAnsi="Calibri"/>
          <w:sz w:val="22"/>
          <w:szCs w:val="22"/>
        </w:rPr>
        <w:t xml:space="preserve">Chang, H., Bonnette, M., Stoker, P., Crow-Miller, B., Wentz, E. (2017). Determinants of </w:t>
      </w:r>
      <w:proofErr w:type="gramStart"/>
      <w:r w:rsidRPr="00040AFD">
        <w:rPr>
          <w:rFonts w:ascii="Calibri" w:hAnsi="Calibri"/>
          <w:sz w:val="22"/>
          <w:szCs w:val="22"/>
        </w:rPr>
        <w:t>Single Family</w:t>
      </w:r>
      <w:proofErr w:type="gramEnd"/>
      <w:r w:rsidRPr="00040AFD">
        <w:rPr>
          <w:rFonts w:ascii="Calibri" w:hAnsi="Calibri"/>
          <w:sz w:val="22"/>
          <w:szCs w:val="22"/>
        </w:rPr>
        <w:t xml:space="preserve"> Residential Water Use Across Scales in Four Western US Cities. </w:t>
      </w:r>
      <w:r w:rsidRPr="000D4895">
        <w:rPr>
          <w:rFonts w:ascii="Calibri" w:hAnsi="Calibri"/>
          <w:i/>
          <w:sz w:val="22"/>
          <w:szCs w:val="22"/>
        </w:rPr>
        <w:t>Science of the Total Environment</w:t>
      </w:r>
      <w:r w:rsidRPr="00040AFD">
        <w:rPr>
          <w:rFonts w:ascii="Calibri" w:hAnsi="Calibri"/>
          <w:sz w:val="22"/>
          <w:szCs w:val="22"/>
        </w:rPr>
        <w:t xml:space="preserve">.  </w:t>
      </w:r>
    </w:p>
    <w:p w14:paraId="29EA0893" w14:textId="77777777" w:rsidR="003A2769" w:rsidRPr="009604B2" w:rsidRDefault="003A2769" w:rsidP="00040AFD">
      <w:pPr>
        <w:spacing w:after="0"/>
        <w:ind w:leftChars="0" w:left="0" w:firstLineChars="0" w:firstLine="0"/>
        <w:rPr>
          <w:rFonts w:ascii="Calibri" w:hAnsi="Calibri"/>
          <w:sz w:val="22"/>
          <w:szCs w:val="22"/>
        </w:rPr>
      </w:pPr>
    </w:p>
    <w:p w14:paraId="1257BDDB" w14:textId="77777777" w:rsidR="003A2769" w:rsidRPr="009604B2" w:rsidRDefault="003A2769" w:rsidP="003A2769">
      <w:pPr>
        <w:spacing w:after="0"/>
        <w:ind w:left="0" w:hanging="2"/>
        <w:rPr>
          <w:rFonts w:ascii="Calibri" w:hAnsi="Calibri"/>
          <w:b/>
          <w:sz w:val="22"/>
          <w:szCs w:val="22"/>
        </w:rPr>
      </w:pPr>
      <w:r w:rsidRPr="009604B2">
        <w:rPr>
          <w:rFonts w:ascii="Calibri" w:hAnsi="Calibri"/>
          <w:b/>
          <w:sz w:val="22"/>
          <w:szCs w:val="22"/>
        </w:rPr>
        <w:lastRenderedPageBreak/>
        <w:t>D. Synergistic Activities</w:t>
      </w:r>
    </w:p>
    <w:p w14:paraId="38388931" w14:textId="68CF3129" w:rsidR="00040AFD" w:rsidRPr="001E5BE1" w:rsidRDefault="00040AFD" w:rsidP="000D4895">
      <w:pPr>
        <w:pStyle w:val="ListParagraph"/>
        <w:numPr>
          <w:ilvl w:val="0"/>
          <w:numId w:val="27"/>
        </w:numPr>
        <w:spacing w:line="240" w:lineRule="auto"/>
        <w:ind w:leftChars="0" w:firstLineChars="0"/>
        <w:rPr>
          <w:rFonts w:ascii="Calibri" w:hAnsi="Calibri" w:cs="Calibri"/>
          <w:sz w:val="22"/>
          <w:szCs w:val="22"/>
        </w:rPr>
      </w:pPr>
      <w:r w:rsidRPr="001E5BE1">
        <w:rPr>
          <w:rFonts w:ascii="Calibri" w:hAnsi="Calibri" w:cs="Calibri"/>
          <w:i/>
          <w:sz w:val="22"/>
          <w:szCs w:val="22"/>
        </w:rPr>
        <w:t xml:space="preserve">Gateway Communities and COVID-19: </w:t>
      </w:r>
      <w:r>
        <w:rPr>
          <w:rFonts w:ascii="Calibri" w:hAnsi="Calibri" w:cs="Calibri"/>
          <w:iCs/>
          <w:sz w:val="22"/>
          <w:szCs w:val="22"/>
        </w:rPr>
        <w:t>Stoker was part of a National Science Foundation-</w:t>
      </w:r>
      <w:r w:rsidRPr="001E5BE1">
        <w:rPr>
          <w:rFonts w:ascii="Calibri" w:hAnsi="Calibri" w:cs="Calibri"/>
          <w:iCs/>
          <w:sz w:val="22"/>
          <w:szCs w:val="22"/>
        </w:rPr>
        <w:t>funded Working Group that develop</w:t>
      </w:r>
      <w:r>
        <w:rPr>
          <w:rFonts w:ascii="Calibri" w:hAnsi="Calibri" w:cs="Calibri"/>
          <w:iCs/>
          <w:sz w:val="22"/>
          <w:szCs w:val="22"/>
        </w:rPr>
        <w:t>ed</w:t>
      </w:r>
      <w:r w:rsidRPr="001E5BE1">
        <w:rPr>
          <w:rFonts w:ascii="Calibri" w:hAnsi="Calibri" w:cs="Calibri"/>
          <w:iCs/>
          <w:sz w:val="22"/>
          <w:szCs w:val="22"/>
        </w:rPr>
        <w:t xml:space="preserve"> a research agenda to study gateway communities' responses to COVID-19 and what can be learned from their experiences for community vulnerability and resilience.</w:t>
      </w:r>
    </w:p>
    <w:p w14:paraId="6BF3E6FA" w14:textId="4C1CF762" w:rsidR="00040AFD" w:rsidRPr="00122F2A" w:rsidRDefault="00040AFD" w:rsidP="000D4895">
      <w:pPr>
        <w:pStyle w:val="ListParagraph"/>
        <w:numPr>
          <w:ilvl w:val="0"/>
          <w:numId w:val="27"/>
        </w:numPr>
        <w:spacing w:line="240" w:lineRule="auto"/>
        <w:ind w:leftChars="0" w:firstLineChars="0"/>
      </w:pPr>
      <w:r w:rsidRPr="001E5BE1">
        <w:rPr>
          <w:rFonts w:ascii="Calibri" w:hAnsi="Calibri" w:cs="Calibri"/>
          <w:i/>
          <w:sz w:val="22"/>
          <w:szCs w:val="22"/>
        </w:rPr>
        <w:t>Planning in Gateway</w:t>
      </w:r>
      <w:r w:rsidRPr="00122F2A">
        <w:rPr>
          <w:rFonts w:ascii="Calibri" w:hAnsi="Calibri"/>
          <w:i/>
          <w:sz w:val="22"/>
          <w:szCs w:val="22"/>
        </w:rPr>
        <w:t xml:space="preserve"> and Amenity Communities: Understanding Unique Challenges Associated with Transportation, Mobility, and Access to Opportunity: </w:t>
      </w:r>
      <w:r>
        <w:rPr>
          <w:rFonts w:ascii="Calibri" w:hAnsi="Calibri"/>
          <w:sz w:val="22"/>
          <w:szCs w:val="22"/>
        </w:rPr>
        <w:t>Stoker was a Co-PI</w:t>
      </w:r>
      <w:r w:rsidRPr="00122F2A">
        <w:rPr>
          <w:rFonts w:ascii="Calibri" w:hAnsi="Calibri"/>
          <w:sz w:val="22"/>
          <w:szCs w:val="22"/>
        </w:rPr>
        <w:t xml:space="preserve"> on a NITC-funded research project ($200K budget) that documented the unique planning and transportation challenges in gateway and natural amenity regions throughout the </w:t>
      </w:r>
      <w:r w:rsidR="00AB4247">
        <w:rPr>
          <w:rFonts w:ascii="Calibri" w:hAnsi="Calibri"/>
          <w:sz w:val="22"/>
          <w:szCs w:val="22"/>
        </w:rPr>
        <w:t>W</w:t>
      </w:r>
      <w:r w:rsidRPr="00122F2A">
        <w:rPr>
          <w:rFonts w:ascii="Calibri" w:hAnsi="Calibri"/>
          <w:sz w:val="22"/>
          <w:szCs w:val="22"/>
        </w:rPr>
        <w:t xml:space="preserve">est. </w:t>
      </w:r>
    </w:p>
    <w:p w14:paraId="59FF8093" w14:textId="1C7F5CAA" w:rsidR="00171ABC" w:rsidRPr="00171ABC" w:rsidRDefault="00171ABC" w:rsidP="000D4895">
      <w:pPr>
        <w:pStyle w:val="ListParagraph"/>
        <w:numPr>
          <w:ilvl w:val="0"/>
          <w:numId w:val="27"/>
        </w:numPr>
        <w:suppressAutoHyphens w:val="0"/>
        <w:spacing w:after="0" w:line="240" w:lineRule="auto"/>
        <w:ind w:leftChars="0" w:firstLineChars="0"/>
        <w:textDirection w:val="lrTb"/>
        <w:textAlignment w:val="auto"/>
        <w:outlineLvl w:val="9"/>
        <w:rPr>
          <w:rFonts w:ascii="Calibri" w:hAnsi="Calibri"/>
          <w:sz w:val="22"/>
          <w:szCs w:val="22"/>
        </w:rPr>
      </w:pPr>
      <w:r>
        <w:rPr>
          <w:rFonts w:ascii="Calibri" w:hAnsi="Calibri"/>
          <w:i/>
          <w:iCs/>
          <w:sz w:val="22"/>
          <w:szCs w:val="22"/>
        </w:rPr>
        <w:t xml:space="preserve">GNAR Research Network: </w:t>
      </w:r>
      <w:r>
        <w:rPr>
          <w:rFonts w:ascii="Calibri" w:hAnsi="Calibri"/>
          <w:sz w:val="22"/>
          <w:szCs w:val="22"/>
        </w:rPr>
        <w:t>Stoker is a lead faculty in the GNAR Initiative’s GNAR Research Network. He also trains and mentors students who are involved in the network.</w:t>
      </w:r>
    </w:p>
    <w:p w14:paraId="554C693A" w14:textId="616FE06D" w:rsidR="00040AFD" w:rsidRDefault="00AC17BA" w:rsidP="000D4895">
      <w:pPr>
        <w:pStyle w:val="ListParagraph"/>
        <w:numPr>
          <w:ilvl w:val="0"/>
          <w:numId w:val="27"/>
        </w:numPr>
        <w:suppressAutoHyphens w:val="0"/>
        <w:spacing w:after="0" w:line="240" w:lineRule="auto"/>
        <w:ind w:leftChars="0" w:firstLineChars="0"/>
        <w:textDirection w:val="lrTb"/>
        <w:textAlignment w:val="auto"/>
        <w:outlineLvl w:val="9"/>
        <w:rPr>
          <w:rFonts w:ascii="Calibri" w:hAnsi="Calibri"/>
          <w:sz w:val="22"/>
          <w:szCs w:val="22"/>
        </w:rPr>
      </w:pPr>
      <w:r>
        <w:rPr>
          <w:rFonts w:ascii="Calibri" w:hAnsi="Calibri"/>
          <w:i/>
          <w:iCs/>
          <w:sz w:val="22"/>
          <w:szCs w:val="22"/>
        </w:rPr>
        <w:t xml:space="preserve">Transit-Oriented Design Course: </w:t>
      </w:r>
      <w:r w:rsidR="00040AFD">
        <w:rPr>
          <w:rFonts w:ascii="Calibri" w:hAnsi="Calibri"/>
          <w:sz w:val="22"/>
          <w:szCs w:val="22"/>
        </w:rPr>
        <w:t>Stoker d</w:t>
      </w:r>
      <w:r w:rsidR="003A2769" w:rsidRPr="00040AFD">
        <w:rPr>
          <w:rFonts w:ascii="Calibri" w:hAnsi="Calibri"/>
          <w:sz w:val="22"/>
          <w:szCs w:val="22"/>
        </w:rPr>
        <w:t xml:space="preserve">eveloped </w:t>
      </w:r>
      <w:r w:rsidR="00040AFD">
        <w:rPr>
          <w:rFonts w:ascii="Calibri" w:hAnsi="Calibri"/>
          <w:sz w:val="22"/>
          <w:szCs w:val="22"/>
        </w:rPr>
        <w:t xml:space="preserve">a </w:t>
      </w:r>
      <w:r w:rsidR="003A2769" w:rsidRPr="00040AFD">
        <w:rPr>
          <w:rFonts w:ascii="Calibri" w:hAnsi="Calibri"/>
          <w:sz w:val="22"/>
          <w:szCs w:val="22"/>
        </w:rPr>
        <w:t xml:space="preserve">course on pedestrian and transit-oriented design that funded students to travel to destinations across the U.S. to measure and evaluate land use and design strategies.  </w:t>
      </w:r>
    </w:p>
    <w:p w14:paraId="59D7119F" w14:textId="412FDF78" w:rsidR="003A2769" w:rsidRPr="00040AFD" w:rsidRDefault="00AC17BA" w:rsidP="000D4895">
      <w:pPr>
        <w:pStyle w:val="ListParagraph"/>
        <w:numPr>
          <w:ilvl w:val="0"/>
          <w:numId w:val="27"/>
        </w:numPr>
        <w:suppressAutoHyphens w:val="0"/>
        <w:spacing w:after="0" w:line="240" w:lineRule="auto"/>
        <w:ind w:leftChars="0" w:firstLineChars="0"/>
        <w:textDirection w:val="lrTb"/>
        <w:textAlignment w:val="auto"/>
        <w:outlineLvl w:val="9"/>
        <w:rPr>
          <w:rFonts w:ascii="Calibri" w:hAnsi="Calibri"/>
          <w:sz w:val="22"/>
          <w:szCs w:val="22"/>
        </w:rPr>
      </w:pPr>
      <w:r>
        <w:rPr>
          <w:rFonts w:ascii="Calibri" w:hAnsi="Calibri"/>
          <w:i/>
          <w:iCs/>
          <w:sz w:val="22"/>
          <w:szCs w:val="22"/>
        </w:rPr>
        <w:t xml:space="preserve">ET+ Scenario Planning: </w:t>
      </w:r>
      <w:r w:rsidR="00040AFD">
        <w:rPr>
          <w:rFonts w:ascii="Calibri" w:hAnsi="Calibri"/>
          <w:sz w:val="22"/>
          <w:szCs w:val="22"/>
        </w:rPr>
        <w:t>Stoker c</w:t>
      </w:r>
      <w:r w:rsidR="003A2769" w:rsidRPr="00040AFD">
        <w:rPr>
          <w:rFonts w:ascii="Calibri" w:hAnsi="Calibri"/>
          <w:sz w:val="22"/>
          <w:szCs w:val="22"/>
        </w:rPr>
        <w:t>ontributed to the development of ET+, an open</w:t>
      </w:r>
      <w:r>
        <w:rPr>
          <w:rFonts w:ascii="Calibri" w:hAnsi="Calibri"/>
          <w:sz w:val="22"/>
          <w:szCs w:val="22"/>
        </w:rPr>
        <w:t>-</w:t>
      </w:r>
      <w:r w:rsidR="003A2769" w:rsidRPr="00040AFD">
        <w:rPr>
          <w:rFonts w:ascii="Calibri" w:hAnsi="Calibri"/>
          <w:sz w:val="22"/>
          <w:szCs w:val="22"/>
        </w:rPr>
        <w:t xml:space="preserve">source free software program </w:t>
      </w:r>
      <w:r>
        <w:rPr>
          <w:rFonts w:ascii="Calibri" w:hAnsi="Calibri"/>
          <w:sz w:val="22"/>
          <w:szCs w:val="22"/>
        </w:rPr>
        <w:t xml:space="preserve">designed to assist </w:t>
      </w:r>
      <w:r w:rsidR="00244127">
        <w:rPr>
          <w:rFonts w:ascii="Calibri" w:hAnsi="Calibri"/>
          <w:sz w:val="22"/>
          <w:szCs w:val="22"/>
        </w:rPr>
        <w:t xml:space="preserve">communities </w:t>
      </w:r>
      <w:r>
        <w:rPr>
          <w:rFonts w:ascii="Calibri" w:hAnsi="Calibri"/>
          <w:sz w:val="22"/>
          <w:szCs w:val="22"/>
        </w:rPr>
        <w:t>with scenario planning.</w:t>
      </w:r>
    </w:p>
    <w:p w14:paraId="10566308" w14:textId="77777777" w:rsidR="003A2769" w:rsidRDefault="003A2769">
      <w:pPr>
        <w:ind w:left="0" w:hanging="2"/>
      </w:pPr>
    </w:p>
    <w:p w14:paraId="2E603E35" w14:textId="77777777" w:rsidR="0051502E" w:rsidRDefault="0051502E">
      <w:pPr>
        <w:suppressAutoHyphens w:val="0"/>
        <w:ind w:leftChars="0" w:left="0" w:firstLineChars="0" w:firstLine="0"/>
        <w:textDirection w:val="lrTb"/>
        <w:textAlignment w:val="auto"/>
        <w:outlineLvl w:val="9"/>
        <w:rPr>
          <w:rFonts w:ascii="Tw Cen MT Condensed Extra Bold" w:eastAsia="Times New Roman" w:hAnsi="Tw Cen MT Condensed Extra Bold" w:cs="Times New Roman"/>
          <w:color w:val="262626"/>
          <w:sz w:val="32"/>
          <w:szCs w:val="32"/>
        </w:rPr>
      </w:pPr>
      <w:r>
        <w:br w:type="page"/>
      </w:r>
    </w:p>
    <w:p w14:paraId="5C535D77" w14:textId="77777777" w:rsidR="003C69BD" w:rsidRDefault="003C69BD">
      <w:pPr>
        <w:ind w:left="0" w:hanging="2"/>
      </w:pPr>
    </w:p>
    <w:sectPr w:rsidR="003C69B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95478" w14:textId="77777777" w:rsidR="00F47D2F" w:rsidRDefault="00F47D2F">
      <w:pPr>
        <w:spacing w:after="0" w:line="240" w:lineRule="auto"/>
        <w:ind w:left="0" w:hanging="2"/>
      </w:pPr>
      <w:r>
        <w:separator/>
      </w:r>
    </w:p>
  </w:endnote>
  <w:endnote w:type="continuationSeparator" w:id="0">
    <w:p w14:paraId="007DB47F" w14:textId="77777777" w:rsidR="00F47D2F" w:rsidRDefault="00F47D2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Symbol">
    <w:altName w:val="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Tw Cen MT Condensed Extra Bold">
    <w:panose1 w:val="020B0803020202020204"/>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7973" w14:textId="77777777" w:rsidR="002A1EAF" w:rsidRDefault="002A1EAF">
    <w:pPr>
      <w:pBdr>
        <w:top w:val="nil"/>
        <w:left w:val="nil"/>
        <w:bottom w:val="nil"/>
        <w:right w:val="nil"/>
        <w:between w:val="nil"/>
      </w:pBdr>
      <w:spacing w:after="0" w:line="276" w:lineRule="auto"/>
      <w:ind w:left="0" w:hanging="2"/>
      <w:jc w:val="right"/>
      <w:rPr>
        <w:color w:val="000000"/>
      </w:rPr>
    </w:pPr>
    <w:r>
      <w:rPr>
        <w:color w:val="000000"/>
      </w:rPr>
      <w:fldChar w:fldCharType="begin"/>
    </w:r>
    <w:r>
      <w:rPr>
        <w:color w:val="000000"/>
      </w:rPr>
      <w:instrText>PAGE</w:instrText>
    </w:r>
    <w:r>
      <w:rPr>
        <w:color w:val="000000"/>
      </w:rPr>
      <w:fldChar w:fldCharType="end"/>
    </w:r>
  </w:p>
  <w:p w14:paraId="7D52F003" w14:textId="77777777" w:rsidR="002A1EAF" w:rsidRDefault="002A1EAF">
    <w:pPr>
      <w:pBdr>
        <w:top w:val="nil"/>
        <w:left w:val="nil"/>
        <w:bottom w:val="nil"/>
        <w:right w:val="nil"/>
        <w:between w:val="nil"/>
      </w:pBdr>
      <w:spacing w:after="0" w:line="276"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BB1D2" w14:textId="77777777" w:rsidR="002A1EAF" w:rsidRDefault="002A1EAF">
    <w:pPr>
      <w:pBdr>
        <w:top w:val="nil"/>
        <w:left w:val="nil"/>
        <w:bottom w:val="nil"/>
        <w:right w:val="nil"/>
        <w:between w:val="nil"/>
      </w:pBdr>
      <w:spacing w:after="0" w:line="276" w:lineRule="auto"/>
      <w:ind w:left="0" w:hanging="2"/>
      <w:jc w:val="right"/>
      <w:rPr>
        <w:color w:val="808080"/>
        <w:sz w:val="16"/>
        <w:szCs w:val="16"/>
      </w:rPr>
    </w:pPr>
    <w:r>
      <w:rPr>
        <w:color w:val="808080"/>
        <w:sz w:val="16"/>
        <w:szCs w:val="16"/>
      </w:rPr>
      <w:fldChar w:fldCharType="begin"/>
    </w:r>
    <w:r>
      <w:rPr>
        <w:color w:val="808080"/>
        <w:sz w:val="16"/>
        <w:szCs w:val="16"/>
      </w:rPr>
      <w:instrText>PAGE</w:instrText>
    </w:r>
    <w:r>
      <w:rPr>
        <w:color w:val="808080"/>
        <w:sz w:val="16"/>
        <w:szCs w:val="16"/>
      </w:rPr>
      <w:fldChar w:fldCharType="separate"/>
    </w:r>
    <w:r>
      <w:rPr>
        <w:noProof/>
        <w:color w:val="808080"/>
        <w:sz w:val="16"/>
        <w:szCs w:val="16"/>
      </w:rPr>
      <w:t>1</w:t>
    </w:r>
    <w:r>
      <w:rPr>
        <w:color w:val="808080"/>
        <w:sz w:val="16"/>
        <w:szCs w:val="16"/>
      </w:rPr>
      <w:fldChar w:fldCharType="end"/>
    </w:r>
  </w:p>
  <w:p w14:paraId="3E8188A6" w14:textId="77777777" w:rsidR="002A1EAF" w:rsidRDefault="002A1EAF">
    <w:pPr>
      <w:pBdr>
        <w:top w:val="nil"/>
        <w:left w:val="nil"/>
        <w:bottom w:val="nil"/>
        <w:right w:val="nil"/>
        <w:between w:val="nil"/>
      </w:pBdr>
      <w:tabs>
        <w:tab w:val="left" w:pos="5015"/>
      </w:tabs>
      <w:spacing w:after="0" w:line="240" w:lineRule="auto"/>
      <w:ind w:left="0" w:right="360" w:hanging="2"/>
      <w:rPr>
        <w:color w:val="808080"/>
        <w:sz w:val="16"/>
        <w:szCs w:val="16"/>
      </w:rPr>
    </w:pPr>
    <w:r>
      <w:rPr>
        <w:color w:val="808080"/>
        <w:sz w:val="16"/>
        <w:szCs w:val="16"/>
      </w:rPr>
      <w:t>NITC General Research Proposal Form</w:t>
    </w:r>
    <w:r>
      <w:rPr>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797E" w14:textId="77777777" w:rsidR="004076AD" w:rsidRDefault="004076A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A4454" w14:textId="77777777" w:rsidR="00F47D2F" w:rsidRDefault="00F47D2F">
      <w:pPr>
        <w:spacing w:after="0" w:line="240" w:lineRule="auto"/>
        <w:ind w:left="0" w:hanging="2"/>
      </w:pPr>
      <w:r>
        <w:separator/>
      </w:r>
    </w:p>
  </w:footnote>
  <w:footnote w:type="continuationSeparator" w:id="0">
    <w:p w14:paraId="2EDC817D" w14:textId="77777777" w:rsidR="00F47D2F" w:rsidRDefault="00F47D2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DB0F" w14:textId="77777777" w:rsidR="004076AD" w:rsidRDefault="004076A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D11B" w14:textId="108FAC25" w:rsidR="002A1EAF" w:rsidRDefault="002A1EAF">
    <w:pPr>
      <w:pBdr>
        <w:top w:val="nil"/>
        <w:left w:val="nil"/>
        <w:bottom w:val="nil"/>
        <w:right w:val="nil"/>
        <w:between w:val="nil"/>
      </w:pBdr>
      <w:spacing w:after="0" w:line="240" w:lineRule="auto"/>
      <w:ind w:left="0" w:hanging="2"/>
      <w:jc w:val="right"/>
      <w:rPr>
        <w:color w:val="333333"/>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17EE" w14:textId="77777777" w:rsidR="004076AD" w:rsidRDefault="004076A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462B4"/>
    <w:multiLevelType w:val="hybridMultilevel"/>
    <w:tmpl w:val="98C2F2D2"/>
    <w:lvl w:ilvl="0" w:tplc="F96AE020">
      <w:start w:val="1"/>
      <w:numFmt w:val="decimal"/>
      <w:lvlText w:val="%1."/>
      <w:lvlJc w:val="left"/>
      <w:pPr>
        <w:ind w:left="1200" w:hanging="361"/>
      </w:pPr>
      <w:rPr>
        <w:rFonts w:ascii="Arial" w:eastAsia="Arial" w:hAnsi="Arial" w:cs="Arial" w:hint="default"/>
        <w:w w:val="91"/>
        <w:sz w:val="22"/>
        <w:szCs w:val="22"/>
      </w:rPr>
    </w:lvl>
    <w:lvl w:ilvl="1" w:tplc="DE14432E">
      <w:numFmt w:val="bullet"/>
      <w:lvlText w:val="•"/>
      <w:lvlJc w:val="left"/>
      <w:pPr>
        <w:ind w:left="2110" w:hanging="361"/>
      </w:pPr>
      <w:rPr>
        <w:rFonts w:hint="default"/>
      </w:rPr>
    </w:lvl>
    <w:lvl w:ilvl="2" w:tplc="A0A2EC48">
      <w:numFmt w:val="bullet"/>
      <w:lvlText w:val="•"/>
      <w:lvlJc w:val="left"/>
      <w:pPr>
        <w:ind w:left="3020" w:hanging="361"/>
      </w:pPr>
      <w:rPr>
        <w:rFonts w:hint="default"/>
      </w:rPr>
    </w:lvl>
    <w:lvl w:ilvl="3" w:tplc="043E36C2">
      <w:numFmt w:val="bullet"/>
      <w:lvlText w:val="•"/>
      <w:lvlJc w:val="left"/>
      <w:pPr>
        <w:ind w:left="3930" w:hanging="361"/>
      </w:pPr>
      <w:rPr>
        <w:rFonts w:hint="default"/>
      </w:rPr>
    </w:lvl>
    <w:lvl w:ilvl="4" w:tplc="112049FC">
      <w:numFmt w:val="bullet"/>
      <w:lvlText w:val="•"/>
      <w:lvlJc w:val="left"/>
      <w:pPr>
        <w:ind w:left="4840" w:hanging="361"/>
      </w:pPr>
      <w:rPr>
        <w:rFonts w:hint="default"/>
      </w:rPr>
    </w:lvl>
    <w:lvl w:ilvl="5" w:tplc="DA3E0D20">
      <w:numFmt w:val="bullet"/>
      <w:lvlText w:val="•"/>
      <w:lvlJc w:val="left"/>
      <w:pPr>
        <w:ind w:left="5750" w:hanging="361"/>
      </w:pPr>
      <w:rPr>
        <w:rFonts w:hint="default"/>
      </w:rPr>
    </w:lvl>
    <w:lvl w:ilvl="6" w:tplc="F4DC584C">
      <w:numFmt w:val="bullet"/>
      <w:lvlText w:val="•"/>
      <w:lvlJc w:val="left"/>
      <w:pPr>
        <w:ind w:left="6660" w:hanging="361"/>
      </w:pPr>
      <w:rPr>
        <w:rFonts w:hint="default"/>
      </w:rPr>
    </w:lvl>
    <w:lvl w:ilvl="7" w:tplc="DB70F910">
      <w:numFmt w:val="bullet"/>
      <w:lvlText w:val="•"/>
      <w:lvlJc w:val="left"/>
      <w:pPr>
        <w:ind w:left="7570" w:hanging="361"/>
      </w:pPr>
      <w:rPr>
        <w:rFonts w:hint="default"/>
      </w:rPr>
    </w:lvl>
    <w:lvl w:ilvl="8" w:tplc="5C3CE51E">
      <w:numFmt w:val="bullet"/>
      <w:lvlText w:val="•"/>
      <w:lvlJc w:val="left"/>
      <w:pPr>
        <w:ind w:left="8480" w:hanging="361"/>
      </w:pPr>
      <w:rPr>
        <w:rFonts w:hint="default"/>
      </w:rPr>
    </w:lvl>
  </w:abstractNum>
  <w:abstractNum w:abstractNumId="1" w15:restartNumberingAfterBreak="0">
    <w:nsid w:val="11DA1A59"/>
    <w:multiLevelType w:val="hybridMultilevel"/>
    <w:tmpl w:val="F61E9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24A7"/>
    <w:multiLevelType w:val="hybridMultilevel"/>
    <w:tmpl w:val="96221FCE"/>
    <w:lvl w:ilvl="0" w:tplc="81C000D6">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72914"/>
    <w:multiLevelType w:val="hybridMultilevel"/>
    <w:tmpl w:val="1B48F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03F0C"/>
    <w:multiLevelType w:val="hybridMultilevel"/>
    <w:tmpl w:val="DBFCDA2E"/>
    <w:lvl w:ilvl="0" w:tplc="C4AA518C">
      <w:numFmt w:val="bullet"/>
      <w:lvlText w:val="•"/>
      <w:lvlJc w:val="left"/>
      <w:pPr>
        <w:ind w:left="839" w:hanging="721"/>
      </w:pPr>
      <w:rPr>
        <w:rFonts w:ascii="Arial" w:eastAsia="Arial" w:hAnsi="Arial" w:cs="Arial" w:hint="default"/>
        <w:w w:val="142"/>
        <w:sz w:val="22"/>
        <w:szCs w:val="22"/>
      </w:rPr>
    </w:lvl>
    <w:lvl w:ilvl="1" w:tplc="F64A29B0">
      <w:numFmt w:val="bullet"/>
      <w:lvlText w:val="●"/>
      <w:lvlJc w:val="left"/>
      <w:pPr>
        <w:ind w:left="840" w:hanging="360"/>
      </w:pPr>
      <w:rPr>
        <w:rFonts w:ascii="Arial" w:eastAsia="Arial" w:hAnsi="Arial" w:cs="Arial" w:hint="default"/>
        <w:w w:val="165"/>
        <w:sz w:val="24"/>
        <w:szCs w:val="24"/>
      </w:rPr>
    </w:lvl>
    <w:lvl w:ilvl="2" w:tplc="90DEFEEA">
      <w:numFmt w:val="bullet"/>
      <w:lvlText w:val="•"/>
      <w:lvlJc w:val="left"/>
      <w:pPr>
        <w:ind w:left="1245" w:hanging="315"/>
      </w:pPr>
      <w:rPr>
        <w:rFonts w:ascii="Arial" w:eastAsia="Arial" w:hAnsi="Arial" w:cs="Arial" w:hint="default"/>
        <w:w w:val="131"/>
        <w:sz w:val="22"/>
        <w:szCs w:val="22"/>
      </w:rPr>
    </w:lvl>
    <w:lvl w:ilvl="3" w:tplc="EDA47042">
      <w:numFmt w:val="bullet"/>
      <w:lvlText w:val="•"/>
      <w:lvlJc w:val="left"/>
      <w:pPr>
        <w:ind w:left="3253" w:hanging="315"/>
      </w:pPr>
      <w:rPr>
        <w:rFonts w:hint="default"/>
      </w:rPr>
    </w:lvl>
    <w:lvl w:ilvl="4" w:tplc="191A71A0">
      <w:numFmt w:val="bullet"/>
      <w:lvlText w:val="•"/>
      <w:lvlJc w:val="left"/>
      <w:pPr>
        <w:ind w:left="4260" w:hanging="315"/>
      </w:pPr>
      <w:rPr>
        <w:rFonts w:hint="default"/>
      </w:rPr>
    </w:lvl>
    <w:lvl w:ilvl="5" w:tplc="7368B78E">
      <w:numFmt w:val="bullet"/>
      <w:lvlText w:val="•"/>
      <w:lvlJc w:val="left"/>
      <w:pPr>
        <w:ind w:left="5266" w:hanging="315"/>
      </w:pPr>
      <w:rPr>
        <w:rFonts w:hint="default"/>
      </w:rPr>
    </w:lvl>
    <w:lvl w:ilvl="6" w:tplc="3304980A">
      <w:numFmt w:val="bullet"/>
      <w:lvlText w:val="•"/>
      <w:lvlJc w:val="left"/>
      <w:pPr>
        <w:ind w:left="6273" w:hanging="315"/>
      </w:pPr>
      <w:rPr>
        <w:rFonts w:hint="default"/>
      </w:rPr>
    </w:lvl>
    <w:lvl w:ilvl="7" w:tplc="55F648E4">
      <w:numFmt w:val="bullet"/>
      <w:lvlText w:val="•"/>
      <w:lvlJc w:val="left"/>
      <w:pPr>
        <w:ind w:left="7280" w:hanging="315"/>
      </w:pPr>
      <w:rPr>
        <w:rFonts w:hint="default"/>
      </w:rPr>
    </w:lvl>
    <w:lvl w:ilvl="8" w:tplc="AC3ADD04">
      <w:numFmt w:val="bullet"/>
      <w:lvlText w:val="•"/>
      <w:lvlJc w:val="left"/>
      <w:pPr>
        <w:ind w:left="8286" w:hanging="315"/>
      </w:pPr>
      <w:rPr>
        <w:rFonts w:hint="default"/>
      </w:rPr>
    </w:lvl>
  </w:abstractNum>
  <w:abstractNum w:abstractNumId="5" w15:restartNumberingAfterBreak="0">
    <w:nsid w:val="1E0A15C5"/>
    <w:multiLevelType w:val="hybridMultilevel"/>
    <w:tmpl w:val="C3F2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00488"/>
    <w:multiLevelType w:val="hybridMultilevel"/>
    <w:tmpl w:val="FC8E714A"/>
    <w:lvl w:ilvl="0" w:tplc="9A1A5A06">
      <w:start w:val="1"/>
      <w:numFmt w:val="upperLetter"/>
      <w:lvlText w:val="%1."/>
      <w:lvlJc w:val="left"/>
      <w:pPr>
        <w:ind w:left="724" w:hanging="245"/>
      </w:pPr>
      <w:rPr>
        <w:rFonts w:ascii="Arial" w:eastAsia="Arial" w:hAnsi="Arial" w:cs="Arial" w:hint="default"/>
        <w:b/>
        <w:bCs/>
        <w:w w:val="84"/>
        <w:sz w:val="22"/>
        <w:szCs w:val="22"/>
      </w:rPr>
    </w:lvl>
    <w:lvl w:ilvl="1" w:tplc="ECE0F8F4">
      <w:start w:val="1"/>
      <w:numFmt w:val="decimal"/>
      <w:lvlText w:val="%2."/>
      <w:lvlJc w:val="left"/>
      <w:pPr>
        <w:ind w:left="1200" w:hanging="361"/>
      </w:pPr>
      <w:rPr>
        <w:rFonts w:hint="default"/>
        <w:w w:val="91"/>
      </w:rPr>
    </w:lvl>
    <w:lvl w:ilvl="2" w:tplc="4FB4019E">
      <w:numFmt w:val="bullet"/>
      <w:lvlText w:val="•"/>
      <w:lvlJc w:val="left"/>
      <w:pPr>
        <w:ind w:left="2211" w:hanging="361"/>
      </w:pPr>
      <w:rPr>
        <w:rFonts w:hint="default"/>
      </w:rPr>
    </w:lvl>
    <w:lvl w:ilvl="3" w:tplc="79C646F6">
      <w:numFmt w:val="bullet"/>
      <w:lvlText w:val="•"/>
      <w:lvlJc w:val="left"/>
      <w:pPr>
        <w:ind w:left="3222" w:hanging="361"/>
      </w:pPr>
      <w:rPr>
        <w:rFonts w:hint="default"/>
      </w:rPr>
    </w:lvl>
    <w:lvl w:ilvl="4" w:tplc="CA36F78C">
      <w:numFmt w:val="bullet"/>
      <w:lvlText w:val="•"/>
      <w:lvlJc w:val="left"/>
      <w:pPr>
        <w:ind w:left="4233" w:hanging="361"/>
      </w:pPr>
      <w:rPr>
        <w:rFonts w:hint="default"/>
      </w:rPr>
    </w:lvl>
    <w:lvl w:ilvl="5" w:tplc="390840C6">
      <w:numFmt w:val="bullet"/>
      <w:lvlText w:val="•"/>
      <w:lvlJc w:val="left"/>
      <w:pPr>
        <w:ind w:left="5244" w:hanging="361"/>
      </w:pPr>
      <w:rPr>
        <w:rFonts w:hint="default"/>
      </w:rPr>
    </w:lvl>
    <w:lvl w:ilvl="6" w:tplc="3FBEA67A">
      <w:numFmt w:val="bullet"/>
      <w:lvlText w:val="•"/>
      <w:lvlJc w:val="left"/>
      <w:pPr>
        <w:ind w:left="6255" w:hanging="361"/>
      </w:pPr>
      <w:rPr>
        <w:rFonts w:hint="default"/>
      </w:rPr>
    </w:lvl>
    <w:lvl w:ilvl="7" w:tplc="0B506A30">
      <w:numFmt w:val="bullet"/>
      <w:lvlText w:val="•"/>
      <w:lvlJc w:val="left"/>
      <w:pPr>
        <w:ind w:left="7266" w:hanging="361"/>
      </w:pPr>
      <w:rPr>
        <w:rFonts w:hint="default"/>
      </w:rPr>
    </w:lvl>
    <w:lvl w:ilvl="8" w:tplc="0D3CFC0A">
      <w:numFmt w:val="bullet"/>
      <w:lvlText w:val="•"/>
      <w:lvlJc w:val="left"/>
      <w:pPr>
        <w:ind w:left="8277" w:hanging="361"/>
      </w:pPr>
      <w:rPr>
        <w:rFonts w:hint="default"/>
      </w:rPr>
    </w:lvl>
  </w:abstractNum>
  <w:abstractNum w:abstractNumId="7" w15:restartNumberingAfterBreak="0">
    <w:nsid w:val="23482FB7"/>
    <w:multiLevelType w:val="hybridMultilevel"/>
    <w:tmpl w:val="86DA01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BD1D37"/>
    <w:multiLevelType w:val="hybridMultilevel"/>
    <w:tmpl w:val="DA36CCEE"/>
    <w:lvl w:ilvl="0" w:tplc="6A34AA16">
      <w:start w:val="1"/>
      <w:numFmt w:val="decimal"/>
      <w:lvlText w:val="%1."/>
      <w:lvlJc w:val="left"/>
      <w:pPr>
        <w:ind w:left="840" w:hanging="361"/>
      </w:pPr>
      <w:rPr>
        <w:rFonts w:ascii="Arial" w:eastAsia="Arial" w:hAnsi="Arial" w:cs="Arial" w:hint="default"/>
        <w:w w:val="91"/>
        <w:sz w:val="22"/>
        <w:szCs w:val="22"/>
      </w:rPr>
    </w:lvl>
    <w:lvl w:ilvl="1" w:tplc="BFFEFB76">
      <w:numFmt w:val="bullet"/>
      <w:lvlText w:val="•"/>
      <w:lvlJc w:val="left"/>
      <w:pPr>
        <w:ind w:left="1786" w:hanging="361"/>
      </w:pPr>
      <w:rPr>
        <w:rFonts w:hint="default"/>
      </w:rPr>
    </w:lvl>
    <w:lvl w:ilvl="2" w:tplc="83B40EB8">
      <w:numFmt w:val="bullet"/>
      <w:lvlText w:val="•"/>
      <w:lvlJc w:val="left"/>
      <w:pPr>
        <w:ind w:left="2732" w:hanging="361"/>
      </w:pPr>
      <w:rPr>
        <w:rFonts w:hint="default"/>
      </w:rPr>
    </w:lvl>
    <w:lvl w:ilvl="3" w:tplc="1C92882C">
      <w:numFmt w:val="bullet"/>
      <w:lvlText w:val="•"/>
      <w:lvlJc w:val="left"/>
      <w:pPr>
        <w:ind w:left="3678" w:hanging="361"/>
      </w:pPr>
      <w:rPr>
        <w:rFonts w:hint="default"/>
      </w:rPr>
    </w:lvl>
    <w:lvl w:ilvl="4" w:tplc="5F0A890C">
      <w:numFmt w:val="bullet"/>
      <w:lvlText w:val="•"/>
      <w:lvlJc w:val="left"/>
      <w:pPr>
        <w:ind w:left="4624" w:hanging="361"/>
      </w:pPr>
      <w:rPr>
        <w:rFonts w:hint="default"/>
      </w:rPr>
    </w:lvl>
    <w:lvl w:ilvl="5" w:tplc="153AB89E">
      <w:numFmt w:val="bullet"/>
      <w:lvlText w:val="•"/>
      <w:lvlJc w:val="left"/>
      <w:pPr>
        <w:ind w:left="5570" w:hanging="361"/>
      </w:pPr>
      <w:rPr>
        <w:rFonts w:hint="default"/>
      </w:rPr>
    </w:lvl>
    <w:lvl w:ilvl="6" w:tplc="3586C314">
      <w:numFmt w:val="bullet"/>
      <w:lvlText w:val="•"/>
      <w:lvlJc w:val="left"/>
      <w:pPr>
        <w:ind w:left="6516" w:hanging="361"/>
      </w:pPr>
      <w:rPr>
        <w:rFonts w:hint="default"/>
      </w:rPr>
    </w:lvl>
    <w:lvl w:ilvl="7" w:tplc="7988DDFE">
      <w:numFmt w:val="bullet"/>
      <w:lvlText w:val="•"/>
      <w:lvlJc w:val="left"/>
      <w:pPr>
        <w:ind w:left="7462" w:hanging="361"/>
      </w:pPr>
      <w:rPr>
        <w:rFonts w:hint="default"/>
      </w:rPr>
    </w:lvl>
    <w:lvl w:ilvl="8" w:tplc="07FCD2C6">
      <w:numFmt w:val="bullet"/>
      <w:lvlText w:val="•"/>
      <w:lvlJc w:val="left"/>
      <w:pPr>
        <w:ind w:left="8408" w:hanging="361"/>
      </w:pPr>
      <w:rPr>
        <w:rFonts w:hint="default"/>
      </w:rPr>
    </w:lvl>
  </w:abstractNum>
  <w:abstractNum w:abstractNumId="9" w15:restartNumberingAfterBreak="0">
    <w:nsid w:val="29684412"/>
    <w:multiLevelType w:val="hybridMultilevel"/>
    <w:tmpl w:val="8F46D1CC"/>
    <w:lvl w:ilvl="0" w:tplc="09F086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643D9"/>
    <w:multiLevelType w:val="hybridMultilevel"/>
    <w:tmpl w:val="548AB6A0"/>
    <w:lvl w:ilvl="0" w:tplc="A4FCF8FA">
      <w:start w:val="1"/>
      <w:numFmt w:val="decimal"/>
      <w:lvlText w:val="%1."/>
      <w:lvlJc w:val="left"/>
      <w:pPr>
        <w:ind w:left="840" w:hanging="361"/>
      </w:pPr>
      <w:rPr>
        <w:rFonts w:ascii="Arial" w:eastAsia="Arial" w:hAnsi="Arial" w:cs="Arial" w:hint="default"/>
        <w:w w:val="91"/>
        <w:sz w:val="22"/>
        <w:szCs w:val="22"/>
      </w:rPr>
    </w:lvl>
    <w:lvl w:ilvl="1" w:tplc="39909D5A">
      <w:numFmt w:val="bullet"/>
      <w:lvlText w:val="•"/>
      <w:lvlJc w:val="left"/>
      <w:pPr>
        <w:ind w:left="1786" w:hanging="361"/>
      </w:pPr>
      <w:rPr>
        <w:rFonts w:hint="default"/>
      </w:rPr>
    </w:lvl>
    <w:lvl w:ilvl="2" w:tplc="0E9E1EC2">
      <w:numFmt w:val="bullet"/>
      <w:lvlText w:val="•"/>
      <w:lvlJc w:val="left"/>
      <w:pPr>
        <w:ind w:left="2732" w:hanging="361"/>
      </w:pPr>
      <w:rPr>
        <w:rFonts w:hint="default"/>
      </w:rPr>
    </w:lvl>
    <w:lvl w:ilvl="3" w:tplc="71928A7C">
      <w:numFmt w:val="bullet"/>
      <w:lvlText w:val="•"/>
      <w:lvlJc w:val="left"/>
      <w:pPr>
        <w:ind w:left="3678" w:hanging="361"/>
      </w:pPr>
      <w:rPr>
        <w:rFonts w:hint="default"/>
      </w:rPr>
    </w:lvl>
    <w:lvl w:ilvl="4" w:tplc="3BD6E158">
      <w:numFmt w:val="bullet"/>
      <w:lvlText w:val="•"/>
      <w:lvlJc w:val="left"/>
      <w:pPr>
        <w:ind w:left="4624" w:hanging="361"/>
      </w:pPr>
      <w:rPr>
        <w:rFonts w:hint="default"/>
      </w:rPr>
    </w:lvl>
    <w:lvl w:ilvl="5" w:tplc="87541FF4">
      <w:numFmt w:val="bullet"/>
      <w:lvlText w:val="•"/>
      <w:lvlJc w:val="left"/>
      <w:pPr>
        <w:ind w:left="5570" w:hanging="361"/>
      </w:pPr>
      <w:rPr>
        <w:rFonts w:hint="default"/>
      </w:rPr>
    </w:lvl>
    <w:lvl w:ilvl="6" w:tplc="4FCEF1D4">
      <w:numFmt w:val="bullet"/>
      <w:lvlText w:val="•"/>
      <w:lvlJc w:val="left"/>
      <w:pPr>
        <w:ind w:left="6516" w:hanging="361"/>
      </w:pPr>
      <w:rPr>
        <w:rFonts w:hint="default"/>
      </w:rPr>
    </w:lvl>
    <w:lvl w:ilvl="7" w:tplc="DA28C504">
      <w:numFmt w:val="bullet"/>
      <w:lvlText w:val="•"/>
      <w:lvlJc w:val="left"/>
      <w:pPr>
        <w:ind w:left="7462" w:hanging="361"/>
      </w:pPr>
      <w:rPr>
        <w:rFonts w:hint="default"/>
      </w:rPr>
    </w:lvl>
    <w:lvl w:ilvl="8" w:tplc="E208CBF6">
      <w:numFmt w:val="bullet"/>
      <w:lvlText w:val="•"/>
      <w:lvlJc w:val="left"/>
      <w:pPr>
        <w:ind w:left="8408" w:hanging="361"/>
      </w:pPr>
      <w:rPr>
        <w:rFonts w:hint="default"/>
      </w:rPr>
    </w:lvl>
  </w:abstractNum>
  <w:abstractNum w:abstractNumId="11" w15:restartNumberingAfterBreak="0">
    <w:nsid w:val="39286D38"/>
    <w:multiLevelType w:val="hybridMultilevel"/>
    <w:tmpl w:val="96C8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46773"/>
    <w:multiLevelType w:val="hybridMultilevel"/>
    <w:tmpl w:val="CD327D8E"/>
    <w:lvl w:ilvl="0" w:tplc="81C000D6">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10CC"/>
    <w:multiLevelType w:val="hybridMultilevel"/>
    <w:tmpl w:val="059C7264"/>
    <w:lvl w:ilvl="0" w:tplc="81C000D6">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46F1D"/>
    <w:multiLevelType w:val="hybridMultilevel"/>
    <w:tmpl w:val="F998CAA2"/>
    <w:lvl w:ilvl="0" w:tplc="09F086F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A37DF"/>
    <w:multiLevelType w:val="multilevel"/>
    <w:tmpl w:val="57801CD0"/>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4DAD2ECB"/>
    <w:multiLevelType w:val="hybridMultilevel"/>
    <w:tmpl w:val="B5923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A56E9"/>
    <w:multiLevelType w:val="hybridMultilevel"/>
    <w:tmpl w:val="F816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8289F"/>
    <w:multiLevelType w:val="hybridMultilevel"/>
    <w:tmpl w:val="4498F14E"/>
    <w:lvl w:ilvl="0" w:tplc="CB2A95B8">
      <w:start w:val="1"/>
      <w:numFmt w:val="decimal"/>
      <w:lvlText w:val="%1."/>
      <w:lvlJc w:val="left"/>
      <w:pPr>
        <w:ind w:left="839" w:hanging="361"/>
      </w:pPr>
      <w:rPr>
        <w:rFonts w:ascii="Arial" w:eastAsia="Arial" w:hAnsi="Arial" w:cs="Arial" w:hint="default"/>
        <w:w w:val="91"/>
        <w:sz w:val="21"/>
        <w:szCs w:val="21"/>
      </w:rPr>
    </w:lvl>
    <w:lvl w:ilvl="1" w:tplc="360254C2">
      <w:start w:val="1"/>
      <w:numFmt w:val="lowerLetter"/>
      <w:lvlText w:val="%2."/>
      <w:lvlJc w:val="left"/>
      <w:pPr>
        <w:ind w:left="1199" w:hanging="269"/>
      </w:pPr>
      <w:rPr>
        <w:rFonts w:ascii="Arial" w:eastAsia="Arial" w:hAnsi="Arial" w:cs="Arial" w:hint="default"/>
        <w:spacing w:val="-1"/>
        <w:w w:val="88"/>
        <w:sz w:val="21"/>
        <w:szCs w:val="21"/>
      </w:rPr>
    </w:lvl>
    <w:lvl w:ilvl="2" w:tplc="085C00A0">
      <w:start w:val="1"/>
      <w:numFmt w:val="lowerRoman"/>
      <w:lvlText w:val="%3."/>
      <w:lvlJc w:val="left"/>
      <w:pPr>
        <w:ind w:left="1650" w:hanging="284"/>
      </w:pPr>
      <w:rPr>
        <w:rFonts w:ascii="Arial" w:eastAsia="Arial" w:hAnsi="Arial" w:cs="Arial" w:hint="default"/>
        <w:spacing w:val="-1"/>
        <w:w w:val="96"/>
        <w:sz w:val="21"/>
        <w:szCs w:val="21"/>
      </w:rPr>
    </w:lvl>
    <w:lvl w:ilvl="3" w:tplc="38706E32">
      <w:numFmt w:val="bullet"/>
      <w:lvlText w:val="•"/>
      <w:lvlJc w:val="left"/>
      <w:pPr>
        <w:ind w:left="2740" w:hanging="284"/>
      </w:pPr>
      <w:rPr>
        <w:rFonts w:hint="default"/>
      </w:rPr>
    </w:lvl>
    <w:lvl w:ilvl="4" w:tplc="05922438">
      <w:numFmt w:val="bullet"/>
      <w:lvlText w:val="•"/>
      <w:lvlJc w:val="left"/>
      <w:pPr>
        <w:ind w:left="3820" w:hanging="284"/>
      </w:pPr>
      <w:rPr>
        <w:rFonts w:hint="default"/>
      </w:rPr>
    </w:lvl>
    <w:lvl w:ilvl="5" w:tplc="CF5C7CD0">
      <w:numFmt w:val="bullet"/>
      <w:lvlText w:val="•"/>
      <w:lvlJc w:val="left"/>
      <w:pPr>
        <w:ind w:left="4900" w:hanging="284"/>
      </w:pPr>
      <w:rPr>
        <w:rFonts w:hint="default"/>
      </w:rPr>
    </w:lvl>
    <w:lvl w:ilvl="6" w:tplc="BD4E1260">
      <w:numFmt w:val="bullet"/>
      <w:lvlText w:val="•"/>
      <w:lvlJc w:val="left"/>
      <w:pPr>
        <w:ind w:left="5980" w:hanging="284"/>
      </w:pPr>
      <w:rPr>
        <w:rFonts w:hint="default"/>
      </w:rPr>
    </w:lvl>
    <w:lvl w:ilvl="7" w:tplc="3F724E6C">
      <w:numFmt w:val="bullet"/>
      <w:lvlText w:val="•"/>
      <w:lvlJc w:val="left"/>
      <w:pPr>
        <w:ind w:left="7060" w:hanging="284"/>
      </w:pPr>
      <w:rPr>
        <w:rFonts w:hint="default"/>
      </w:rPr>
    </w:lvl>
    <w:lvl w:ilvl="8" w:tplc="EAC06D92">
      <w:numFmt w:val="bullet"/>
      <w:lvlText w:val="•"/>
      <w:lvlJc w:val="left"/>
      <w:pPr>
        <w:ind w:left="8140" w:hanging="284"/>
      </w:pPr>
      <w:rPr>
        <w:rFonts w:hint="default"/>
      </w:rPr>
    </w:lvl>
  </w:abstractNum>
  <w:abstractNum w:abstractNumId="19" w15:restartNumberingAfterBreak="0">
    <w:nsid w:val="51335DFF"/>
    <w:multiLevelType w:val="hybridMultilevel"/>
    <w:tmpl w:val="9EDC01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F5770"/>
    <w:multiLevelType w:val="hybridMultilevel"/>
    <w:tmpl w:val="6BAA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17906"/>
    <w:multiLevelType w:val="hybridMultilevel"/>
    <w:tmpl w:val="2BDCFAE4"/>
    <w:lvl w:ilvl="0" w:tplc="81C000D6">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7410E"/>
    <w:multiLevelType w:val="hybridMultilevel"/>
    <w:tmpl w:val="EED60FC4"/>
    <w:lvl w:ilvl="0" w:tplc="4CA4C88E">
      <w:start w:val="1"/>
      <w:numFmt w:val="decimal"/>
      <w:lvlText w:val="%1."/>
      <w:lvlJc w:val="left"/>
      <w:pPr>
        <w:ind w:left="840" w:hanging="361"/>
      </w:pPr>
      <w:rPr>
        <w:rFonts w:hint="default"/>
        <w:w w:val="91"/>
      </w:rPr>
    </w:lvl>
    <w:lvl w:ilvl="1" w:tplc="A1023AAA">
      <w:numFmt w:val="bullet"/>
      <w:lvlText w:val="•"/>
      <w:lvlJc w:val="left"/>
      <w:pPr>
        <w:ind w:left="1200" w:hanging="361"/>
      </w:pPr>
      <w:rPr>
        <w:rFonts w:ascii="Arial" w:eastAsia="Arial" w:hAnsi="Arial" w:cs="Arial" w:hint="default"/>
        <w:w w:val="132"/>
        <w:sz w:val="21"/>
        <w:szCs w:val="21"/>
      </w:rPr>
    </w:lvl>
    <w:lvl w:ilvl="2" w:tplc="F7CC0D96">
      <w:numFmt w:val="bullet"/>
      <w:lvlText w:val="•"/>
      <w:lvlJc w:val="left"/>
      <w:pPr>
        <w:ind w:left="2211" w:hanging="361"/>
      </w:pPr>
      <w:rPr>
        <w:rFonts w:hint="default"/>
      </w:rPr>
    </w:lvl>
    <w:lvl w:ilvl="3" w:tplc="7B1C652A">
      <w:numFmt w:val="bullet"/>
      <w:lvlText w:val="•"/>
      <w:lvlJc w:val="left"/>
      <w:pPr>
        <w:ind w:left="3222" w:hanging="361"/>
      </w:pPr>
      <w:rPr>
        <w:rFonts w:hint="default"/>
      </w:rPr>
    </w:lvl>
    <w:lvl w:ilvl="4" w:tplc="66741114">
      <w:numFmt w:val="bullet"/>
      <w:lvlText w:val="•"/>
      <w:lvlJc w:val="left"/>
      <w:pPr>
        <w:ind w:left="4233" w:hanging="361"/>
      </w:pPr>
      <w:rPr>
        <w:rFonts w:hint="default"/>
      </w:rPr>
    </w:lvl>
    <w:lvl w:ilvl="5" w:tplc="8A7881B4">
      <w:numFmt w:val="bullet"/>
      <w:lvlText w:val="•"/>
      <w:lvlJc w:val="left"/>
      <w:pPr>
        <w:ind w:left="5244" w:hanging="361"/>
      </w:pPr>
      <w:rPr>
        <w:rFonts w:hint="default"/>
      </w:rPr>
    </w:lvl>
    <w:lvl w:ilvl="6" w:tplc="5C92D3B0">
      <w:numFmt w:val="bullet"/>
      <w:lvlText w:val="•"/>
      <w:lvlJc w:val="left"/>
      <w:pPr>
        <w:ind w:left="6255" w:hanging="361"/>
      </w:pPr>
      <w:rPr>
        <w:rFonts w:hint="default"/>
      </w:rPr>
    </w:lvl>
    <w:lvl w:ilvl="7" w:tplc="9156192E">
      <w:numFmt w:val="bullet"/>
      <w:lvlText w:val="•"/>
      <w:lvlJc w:val="left"/>
      <w:pPr>
        <w:ind w:left="7266" w:hanging="361"/>
      </w:pPr>
      <w:rPr>
        <w:rFonts w:hint="default"/>
      </w:rPr>
    </w:lvl>
    <w:lvl w:ilvl="8" w:tplc="6A1C1FD4">
      <w:numFmt w:val="bullet"/>
      <w:lvlText w:val="•"/>
      <w:lvlJc w:val="left"/>
      <w:pPr>
        <w:ind w:left="8277" w:hanging="361"/>
      </w:pPr>
      <w:rPr>
        <w:rFonts w:hint="default"/>
      </w:rPr>
    </w:lvl>
  </w:abstractNum>
  <w:abstractNum w:abstractNumId="23" w15:restartNumberingAfterBreak="0">
    <w:nsid w:val="53AC45D5"/>
    <w:multiLevelType w:val="hybridMultilevel"/>
    <w:tmpl w:val="9CF0180C"/>
    <w:lvl w:ilvl="0" w:tplc="E4CE5B3C">
      <w:start w:val="1"/>
      <w:numFmt w:val="decimal"/>
      <w:lvlText w:val="%1."/>
      <w:lvlJc w:val="left"/>
      <w:pPr>
        <w:ind w:left="840" w:hanging="361"/>
      </w:pPr>
      <w:rPr>
        <w:rFonts w:ascii="Arial" w:eastAsia="Arial" w:hAnsi="Arial" w:cs="Arial" w:hint="default"/>
        <w:w w:val="91"/>
        <w:sz w:val="21"/>
        <w:szCs w:val="21"/>
      </w:rPr>
    </w:lvl>
    <w:lvl w:ilvl="1" w:tplc="6AF2411E">
      <w:numFmt w:val="bullet"/>
      <w:lvlText w:val="•"/>
      <w:lvlJc w:val="left"/>
      <w:pPr>
        <w:ind w:left="1786" w:hanging="361"/>
      </w:pPr>
      <w:rPr>
        <w:rFonts w:hint="default"/>
      </w:rPr>
    </w:lvl>
    <w:lvl w:ilvl="2" w:tplc="8084B892">
      <w:numFmt w:val="bullet"/>
      <w:lvlText w:val="•"/>
      <w:lvlJc w:val="left"/>
      <w:pPr>
        <w:ind w:left="2732" w:hanging="361"/>
      </w:pPr>
      <w:rPr>
        <w:rFonts w:hint="default"/>
      </w:rPr>
    </w:lvl>
    <w:lvl w:ilvl="3" w:tplc="5FF0E978">
      <w:numFmt w:val="bullet"/>
      <w:lvlText w:val="•"/>
      <w:lvlJc w:val="left"/>
      <w:pPr>
        <w:ind w:left="3678" w:hanging="361"/>
      </w:pPr>
      <w:rPr>
        <w:rFonts w:hint="default"/>
      </w:rPr>
    </w:lvl>
    <w:lvl w:ilvl="4" w:tplc="68ECA002">
      <w:numFmt w:val="bullet"/>
      <w:lvlText w:val="•"/>
      <w:lvlJc w:val="left"/>
      <w:pPr>
        <w:ind w:left="4624" w:hanging="361"/>
      </w:pPr>
      <w:rPr>
        <w:rFonts w:hint="default"/>
      </w:rPr>
    </w:lvl>
    <w:lvl w:ilvl="5" w:tplc="E5F6CFE4">
      <w:numFmt w:val="bullet"/>
      <w:lvlText w:val="•"/>
      <w:lvlJc w:val="left"/>
      <w:pPr>
        <w:ind w:left="5570" w:hanging="361"/>
      </w:pPr>
      <w:rPr>
        <w:rFonts w:hint="default"/>
      </w:rPr>
    </w:lvl>
    <w:lvl w:ilvl="6" w:tplc="FD4E4C80">
      <w:numFmt w:val="bullet"/>
      <w:lvlText w:val="•"/>
      <w:lvlJc w:val="left"/>
      <w:pPr>
        <w:ind w:left="6516" w:hanging="361"/>
      </w:pPr>
      <w:rPr>
        <w:rFonts w:hint="default"/>
      </w:rPr>
    </w:lvl>
    <w:lvl w:ilvl="7" w:tplc="2CB0B970">
      <w:numFmt w:val="bullet"/>
      <w:lvlText w:val="•"/>
      <w:lvlJc w:val="left"/>
      <w:pPr>
        <w:ind w:left="7462" w:hanging="361"/>
      </w:pPr>
      <w:rPr>
        <w:rFonts w:hint="default"/>
      </w:rPr>
    </w:lvl>
    <w:lvl w:ilvl="8" w:tplc="A1DE499E">
      <w:numFmt w:val="bullet"/>
      <w:lvlText w:val="•"/>
      <w:lvlJc w:val="left"/>
      <w:pPr>
        <w:ind w:left="8408" w:hanging="361"/>
      </w:pPr>
      <w:rPr>
        <w:rFonts w:hint="default"/>
      </w:rPr>
    </w:lvl>
  </w:abstractNum>
  <w:abstractNum w:abstractNumId="24" w15:restartNumberingAfterBreak="0">
    <w:nsid w:val="5693152B"/>
    <w:multiLevelType w:val="hybridMultilevel"/>
    <w:tmpl w:val="A292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47680"/>
    <w:multiLevelType w:val="hybridMultilevel"/>
    <w:tmpl w:val="B3D4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9E1211"/>
    <w:multiLevelType w:val="hybridMultilevel"/>
    <w:tmpl w:val="A10EFF7E"/>
    <w:lvl w:ilvl="0" w:tplc="28D28546">
      <w:start w:val="2"/>
      <w:numFmt w:val="upperLetter"/>
      <w:lvlText w:val="%1."/>
      <w:lvlJc w:val="left"/>
      <w:pPr>
        <w:ind w:left="712" w:hanging="233"/>
      </w:pPr>
      <w:rPr>
        <w:rFonts w:hint="default"/>
        <w:b/>
        <w:bCs/>
        <w:spacing w:val="0"/>
        <w:w w:val="77"/>
      </w:rPr>
    </w:lvl>
    <w:lvl w:ilvl="1" w:tplc="53B0E020">
      <w:numFmt w:val="bullet"/>
      <w:lvlText w:val="•"/>
      <w:lvlJc w:val="left"/>
      <w:pPr>
        <w:ind w:left="1678" w:hanging="233"/>
      </w:pPr>
      <w:rPr>
        <w:rFonts w:hint="default"/>
      </w:rPr>
    </w:lvl>
    <w:lvl w:ilvl="2" w:tplc="E160A63E">
      <w:numFmt w:val="bullet"/>
      <w:lvlText w:val="•"/>
      <w:lvlJc w:val="left"/>
      <w:pPr>
        <w:ind w:left="2636" w:hanging="233"/>
      </w:pPr>
      <w:rPr>
        <w:rFonts w:hint="default"/>
      </w:rPr>
    </w:lvl>
    <w:lvl w:ilvl="3" w:tplc="26722D98">
      <w:numFmt w:val="bullet"/>
      <w:lvlText w:val="•"/>
      <w:lvlJc w:val="left"/>
      <w:pPr>
        <w:ind w:left="3594" w:hanging="233"/>
      </w:pPr>
      <w:rPr>
        <w:rFonts w:hint="default"/>
      </w:rPr>
    </w:lvl>
    <w:lvl w:ilvl="4" w:tplc="69543E82">
      <w:numFmt w:val="bullet"/>
      <w:lvlText w:val="•"/>
      <w:lvlJc w:val="left"/>
      <w:pPr>
        <w:ind w:left="4552" w:hanging="233"/>
      </w:pPr>
      <w:rPr>
        <w:rFonts w:hint="default"/>
      </w:rPr>
    </w:lvl>
    <w:lvl w:ilvl="5" w:tplc="4D4E3F24">
      <w:numFmt w:val="bullet"/>
      <w:lvlText w:val="•"/>
      <w:lvlJc w:val="left"/>
      <w:pPr>
        <w:ind w:left="5510" w:hanging="233"/>
      </w:pPr>
      <w:rPr>
        <w:rFonts w:hint="default"/>
      </w:rPr>
    </w:lvl>
    <w:lvl w:ilvl="6" w:tplc="B69283E6">
      <w:numFmt w:val="bullet"/>
      <w:lvlText w:val="•"/>
      <w:lvlJc w:val="left"/>
      <w:pPr>
        <w:ind w:left="6468" w:hanging="233"/>
      </w:pPr>
      <w:rPr>
        <w:rFonts w:hint="default"/>
      </w:rPr>
    </w:lvl>
    <w:lvl w:ilvl="7" w:tplc="86644058">
      <w:numFmt w:val="bullet"/>
      <w:lvlText w:val="•"/>
      <w:lvlJc w:val="left"/>
      <w:pPr>
        <w:ind w:left="7426" w:hanging="233"/>
      </w:pPr>
      <w:rPr>
        <w:rFonts w:hint="default"/>
      </w:rPr>
    </w:lvl>
    <w:lvl w:ilvl="8" w:tplc="ED742B08">
      <w:numFmt w:val="bullet"/>
      <w:lvlText w:val="•"/>
      <w:lvlJc w:val="left"/>
      <w:pPr>
        <w:ind w:left="8384" w:hanging="233"/>
      </w:pPr>
      <w:rPr>
        <w:rFonts w:hint="default"/>
      </w:rPr>
    </w:lvl>
  </w:abstractNum>
  <w:abstractNum w:abstractNumId="27" w15:restartNumberingAfterBreak="0">
    <w:nsid w:val="688E6A9B"/>
    <w:multiLevelType w:val="hybridMultilevel"/>
    <w:tmpl w:val="F2A0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71D6E"/>
    <w:multiLevelType w:val="hybridMultilevel"/>
    <w:tmpl w:val="7B304EB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5A17BBE"/>
    <w:multiLevelType w:val="hybridMultilevel"/>
    <w:tmpl w:val="B130E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2DA395C">
      <w:start w:val="1"/>
      <w:numFmt w:val="decimal"/>
      <w:lvlText w:val="%4."/>
      <w:lvlJc w:val="left"/>
      <w:pPr>
        <w:ind w:left="36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8"/>
  </w:num>
  <w:num w:numId="4">
    <w:abstractNumId w:val="4"/>
  </w:num>
  <w:num w:numId="5">
    <w:abstractNumId w:val="22"/>
  </w:num>
  <w:num w:numId="6">
    <w:abstractNumId w:val="10"/>
  </w:num>
  <w:num w:numId="7">
    <w:abstractNumId w:val="8"/>
  </w:num>
  <w:num w:numId="8">
    <w:abstractNumId w:val="26"/>
  </w:num>
  <w:num w:numId="9">
    <w:abstractNumId w:val="0"/>
  </w:num>
  <w:num w:numId="10">
    <w:abstractNumId w:val="6"/>
  </w:num>
  <w:num w:numId="11">
    <w:abstractNumId w:val="23"/>
  </w:num>
  <w:num w:numId="12">
    <w:abstractNumId w:val="24"/>
  </w:num>
  <w:num w:numId="13">
    <w:abstractNumId w:val="28"/>
  </w:num>
  <w:num w:numId="14">
    <w:abstractNumId w:val="5"/>
  </w:num>
  <w:num w:numId="15">
    <w:abstractNumId w:val="16"/>
  </w:num>
  <w:num w:numId="16">
    <w:abstractNumId w:val="19"/>
  </w:num>
  <w:num w:numId="17">
    <w:abstractNumId w:val="29"/>
  </w:num>
  <w:num w:numId="18">
    <w:abstractNumId w:val="9"/>
  </w:num>
  <w:num w:numId="19">
    <w:abstractNumId w:val="14"/>
  </w:num>
  <w:num w:numId="20">
    <w:abstractNumId w:val="25"/>
  </w:num>
  <w:num w:numId="21">
    <w:abstractNumId w:val="17"/>
  </w:num>
  <w:num w:numId="22">
    <w:abstractNumId w:val="1"/>
  </w:num>
  <w:num w:numId="23">
    <w:abstractNumId w:val="11"/>
  </w:num>
  <w:num w:numId="24">
    <w:abstractNumId w:val="21"/>
  </w:num>
  <w:num w:numId="25">
    <w:abstractNumId w:val="13"/>
  </w:num>
  <w:num w:numId="26">
    <w:abstractNumId w:val="12"/>
  </w:num>
  <w:num w:numId="27">
    <w:abstractNumId w:val="2"/>
  </w:num>
  <w:num w:numId="28">
    <w:abstractNumId w:val="3"/>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AB"/>
    <w:rsid w:val="00004668"/>
    <w:rsid w:val="0000615B"/>
    <w:rsid w:val="00014CAE"/>
    <w:rsid w:val="00021F33"/>
    <w:rsid w:val="00023F07"/>
    <w:rsid w:val="00027BA4"/>
    <w:rsid w:val="00027C1C"/>
    <w:rsid w:val="00031173"/>
    <w:rsid w:val="00040891"/>
    <w:rsid w:val="00040AFD"/>
    <w:rsid w:val="00054F5B"/>
    <w:rsid w:val="000703A4"/>
    <w:rsid w:val="00077A51"/>
    <w:rsid w:val="00077F49"/>
    <w:rsid w:val="00092892"/>
    <w:rsid w:val="0009508C"/>
    <w:rsid w:val="000A6715"/>
    <w:rsid w:val="000A67E7"/>
    <w:rsid w:val="000A690E"/>
    <w:rsid w:val="000B3864"/>
    <w:rsid w:val="000B7C16"/>
    <w:rsid w:val="000C514F"/>
    <w:rsid w:val="000C5547"/>
    <w:rsid w:val="000D4895"/>
    <w:rsid w:val="000E7EB7"/>
    <w:rsid w:val="00122F2A"/>
    <w:rsid w:val="001307D4"/>
    <w:rsid w:val="00135C03"/>
    <w:rsid w:val="001370C7"/>
    <w:rsid w:val="001420BE"/>
    <w:rsid w:val="00146FF3"/>
    <w:rsid w:val="00153609"/>
    <w:rsid w:val="00164C68"/>
    <w:rsid w:val="001667A6"/>
    <w:rsid w:val="00171ABC"/>
    <w:rsid w:val="00181501"/>
    <w:rsid w:val="00182CE7"/>
    <w:rsid w:val="001940E0"/>
    <w:rsid w:val="001A09C3"/>
    <w:rsid w:val="001A1707"/>
    <w:rsid w:val="001D776E"/>
    <w:rsid w:val="001E5BE1"/>
    <w:rsid w:val="001E659A"/>
    <w:rsid w:val="001F0E12"/>
    <w:rsid w:val="001F622A"/>
    <w:rsid w:val="0021443F"/>
    <w:rsid w:val="00216601"/>
    <w:rsid w:val="00244127"/>
    <w:rsid w:val="00247400"/>
    <w:rsid w:val="00264966"/>
    <w:rsid w:val="0027202C"/>
    <w:rsid w:val="00284362"/>
    <w:rsid w:val="002859AC"/>
    <w:rsid w:val="00287E28"/>
    <w:rsid w:val="00294358"/>
    <w:rsid w:val="002A1EAF"/>
    <w:rsid w:val="002A64D0"/>
    <w:rsid w:val="002B73D0"/>
    <w:rsid w:val="002C7321"/>
    <w:rsid w:val="002E5843"/>
    <w:rsid w:val="002E7214"/>
    <w:rsid w:val="002F671E"/>
    <w:rsid w:val="00302508"/>
    <w:rsid w:val="0030592C"/>
    <w:rsid w:val="0030766D"/>
    <w:rsid w:val="003266D3"/>
    <w:rsid w:val="00331C84"/>
    <w:rsid w:val="0033303D"/>
    <w:rsid w:val="0034206F"/>
    <w:rsid w:val="0034364E"/>
    <w:rsid w:val="0035620A"/>
    <w:rsid w:val="00364F55"/>
    <w:rsid w:val="00370A4D"/>
    <w:rsid w:val="00383CC9"/>
    <w:rsid w:val="00397633"/>
    <w:rsid w:val="003A2769"/>
    <w:rsid w:val="003A2B8D"/>
    <w:rsid w:val="003C3679"/>
    <w:rsid w:val="003C69BD"/>
    <w:rsid w:val="00405277"/>
    <w:rsid w:val="004076AD"/>
    <w:rsid w:val="004233B0"/>
    <w:rsid w:val="00431940"/>
    <w:rsid w:val="004366AB"/>
    <w:rsid w:val="004373F8"/>
    <w:rsid w:val="00447710"/>
    <w:rsid w:val="00447E97"/>
    <w:rsid w:val="00464572"/>
    <w:rsid w:val="00465C63"/>
    <w:rsid w:val="004664D7"/>
    <w:rsid w:val="004670DB"/>
    <w:rsid w:val="00467CE2"/>
    <w:rsid w:val="00484BD6"/>
    <w:rsid w:val="004930AD"/>
    <w:rsid w:val="004964C6"/>
    <w:rsid w:val="004C2376"/>
    <w:rsid w:val="004C67E9"/>
    <w:rsid w:val="004F0389"/>
    <w:rsid w:val="00505547"/>
    <w:rsid w:val="0051502E"/>
    <w:rsid w:val="0052063C"/>
    <w:rsid w:val="00525F52"/>
    <w:rsid w:val="005262B1"/>
    <w:rsid w:val="00552C5E"/>
    <w:rsid w:val="0055417B"/>
    <w:rsid w:val="00572599"/>
    <w:rsid w:val="00582109"/>
    <w:rsid w:val="00587479"/>
    <w:rsid w:val="005A288D"/>
    <w:rsid w:val="005A60A0"/>
    <w:rsid w:val="005C360B"/>
    <w:rsid w:val="005C41C5"/>
    <w:rsid w:val="005D7E41"/>
    <w:rsid w:val="005E2EFD"/>
    <w:rsid w:val="005F6EC4"/>
    <w:rsid w:val="0060172B"/>
    <w:rsid w:val="00632A87"/>
    <w:rsid w:val="006573BF"/>
    <w:rsid w:val="00660A5A"/>
    <w:rsid w:val="00675CA0"/>
    <w:rsid w:val="006760F9"/>
    <w:rsid w:val="00680F85"/>
    <w:rsid w:val="0068579F"/>
    <w:rsid w:val="00696835"/>
    <w:rsid w:val="006A663D"/>
    <w:rsid w:val="006A789E"/>
    <w:rsid w:val="006A7DF6"/>
    <w:rsid w:val="006B0185"/>
    <w:rsid w:val="006B3DE1"/>
    <w:rsid w:val="006B6095"/>
    <w:rsid w:val="006C0E52"/>
    <w:rsid w:val="006C5D45"/>
    <w:rsid w:val="006D7A76"/>
    <w:rsid w:val="006F4507"/>
    <w:rsid w:val="006F55D0"/>
    <w:rsid w:val="006F7581"/>
    <w:rsid w:val="006F7C61"/>
    <w:rsid w:val="0070459A"/>
    <w:rsid w:val="00716032"/>
    <w:rsid w:val="0072697A"/>
    <w:rsid w:val="00735E13"/>
    <w:rsid w:val="00762B0B"/>
    <w:rsid w:val="00783D94"/>
    <w:rsid w:val="007A19EC"/>
    <w:rsid w:val="007B2F26"/>
    <w:rsid w:val="007B57D0"/>
    <w:rsid w:val="007E679B"/>
    <w:rsid w:val="007F2357"/>
    <w:rsid w:val="008020AB"/>
    <w:rsid w:val="00810E66"/>
    <w:rsid w:val="00814EAD"/>
    <w:rsid w:val="0083033E"/>
    <w:rsid w:val="0083127A"/>
    <w:rsid w:val="008472D1"/>
    <w:rsid w:val="00876424"/>
    <w:rsid w:val="00881521"/>
    <w:rsid w:val="00890FFA"/>
    <w:rsid w:val="00893FE5"/>
    <w:rsid w:val="00897703"/>
    <w:rsid w:val="008A0552"/>
    <w:rsid w:val="008A13F1"/>
    <w:rsid w:val="008A6B3B"/>
    <w:rsid w:val="008B7B28"/>
    <w:rsid w:val="008C2CEE"/>
    <w:rsid w:val="008C5DA5"/>
    <w:rsid w:val="008F7B00"/>
    <w:rsid w:val="00913B15"/>
    <w:rsid w:val="00916150"/>
    <w:rsid w:val="00940A16"/>
    <w:rsid w:val="00943D4B"/>
    <w:rsid w:val="0094567A"/>
    <w:rsid w:val="0095018C"/>
    <w:rsid w:val="00957A84"/>
    <w:rsid w:val="00963030"/>
    <w:rsid w:val="00977E85"/>
    <w:rsid w:val="00980273"/>
    <w:rsid w:val="00981387"/>
    <w:rsid w:val="00985280"/>
    <w:rsid w:val="00987577"/>
    <w:rsid w:val="009A18F5"/>
    <w:rsid w:val="009B31BF"/>
    <w:rsid w:val="009C103C"/>
    <w:rsid w:val="009D4BE0"/>
    <w:rsid w:val="009F0996"/>
    <w:rsid w:val="009F178F"/>
    <w:rsid w:val="009F7E69"/>
    <w:rsid w:val="00A01EA8"/>
    <w:rsid w:val="00A065E8"/>
    <w:rsid w:val="00A11843"/>
    <w:rsid w:val="00A136F4"/>
    <w:rsid w:val="00A2607A"/>
    <w:rsid w:val="00A26562"/>
    <w:rsid w:val="00A31B83"/>
    <w:rsid w:val="00A37635"/>
    <w:rsid w:val="00A45A6F"/>
    <w:rsid w:val="00A85AAB"/>
    <w:rsid w:val="00AA1CED"/>
    <w:rsid w:val="00AA7E0C"/>
    <w:rsid w:val="00AB4247"/>
    <w:rsid w:val="00AC17BA"/>
    <w:rsid w:val="00AD68D8"/>
    <w:rsid w:val="00AF3603"/>
    <w:rsid w:val="00AF447C"/>
    <w:rsid w:val="00B1617B"/>
    <w:rsid w:val="00B277D3"/>
    <w:rsid w:val="00B300B6"/>
    <w:rsid w:val="00B406BE"/>
    <w:rsid w:val="00B60FB1"/>
    <w:rsid w:val="00B83FE0"/>
    <w:rsid w:val="00B94919"/>
    <w:rsid w:val="00BB5EC4"/>
    <w:rsid w:val="00BB77AF"/>
    <w:rsid w:val="00BC25A7"/>
    <w:rsid w:val="00BE382B"/>
    <w:rsid w:val="00BE77E2"/>
    <w:rsid w:val="00BF4124"/>
    <w:rsid w:val="00C166DF"/>
    <w:rsid w:val="00C278BA"/>
    <w:rsid w:val="00C30EFF"/>
    <w:rsid w:val="00C30FCA"/>
    <w:rsid w:val="00C3771B"/>
    <w:rsid w:val="00C40CD0"/>
    <w:rsid w:val="00C421C1"/>
    <w:rsid w:val="00C424C1"/>
    <w:rsid w:val="00C4376D"/>
    <w:rsid w:val="00C5633D"/>
    <w:rsid w:val="00C63430"/>
    <w:rsid w:val="00C63A0D"/>
    <w:rsid w:val="00C7768E"/>
    <w:rsid w:val="00C9315E"/>
    <w:rsid w:val="00C958B9"/>
    <w:rsid w:val="00CA279D"/>
    <w:rsid w:val="00CA424C"/>
    <w:rsid w:val="00CB3B02"/>
    <w:rsid w:val="00CB6678"/>
    <w:rsid w:val="00CD3C77"/>
    <w:rsid w:val="00CD55AD"/>
    <w:rsid w:val="00CE1A07"/>
    <w:rsid w:val="00D033FF"/>
    <w:rsid w:val="00D05ECD"/>
    <w:rsid w:val="00D10990"/>
    <w:rsid w:val="00D17BE0"/>
    <w:rsid w:val="00D24993"/>
    <w:rsid w:val="00D279DD"/>
    <w:rsid w:val="00D32CC5"/>
    <w:rsid w:val="00D40543"/>
    <w:rsid w:val="00D66E20"/>
    <w:rsid w:val="00D75C96"/>
    <w:rsid w:val="00D85695"/>
    <w:rsid w:val="00DC78A9"/>
    <w:rsid w:val="00DD15C4"/>
    <w:rsid w:val="00DE5929"/>
    <w:rsid w:val="00DF141B"/>
    <w:rsid w:val="00E00E14"/>
    <w:rsid w:val="00E31B13"/>
    <w:rsid w:val="00E3755F"/>
    <w:rsid w:val="00E54F31"/>
    <w:rsid w:val="00E602D3"/>
    <w:rsid w:val="00E83473"/>
    <w:rsid w:val="00E84F6F"/>
    <w:rsid w:val="00EA4685"/>
    <w:rsid w:val="00EB5B97"/>
    <w:rsid w:val="00EC3BCC"/>
    <w:rsid w:val="00EC554E"/>
    <w:rsid w:val="00EE1625"/>
    <w:rsid w:val="00EE6CE8"/>
    <w:rsid w:val="00F06721"/>
    <w:rsid w:val="00F13377"/>
    <w:rsid w:val="00F17009"/>
    <w:rsid w:val="00F421A4"/>
    <w:rsid w:val="00F4270D"/>
    <w:rsid w:val="00F47D2F"/>
    <w:rsid w:val="00F50311"/>
    <w:rsid w:val="00F5213E"/>
    <w:rsid w:val="00F52BE1"/>
    <w:rsid w:val="00F61BCC"/>
    <w:rsid w:val="00F64A24"/>
    <w:rsid w:val="00F7414E"/>
    <w:rsid w:val="00F812A1"/>
    <w:rsid w:val="00FA70F5"/>
    <w:rsid w:val="00FC57CB"/>
    <w:rsid w:val="00FD1050"/>
    <w:rsid w:val="00FD1C72"/>
    <w:rsid w:val="00FD6399"/>
    <w:rsid w:val="00FE17EB"/>
    <w:rsid w:val="00FE373E"/>
    <w:rsid w:val="00FF0763"/>
    <w:rsid w:val="00FF1A4D"/>
    <w:rsid w:val="00FF2A11"/>
    <w:rsid w:val="00FF767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1CF1"/>
  <w15:docId w15:val="{CA799169-CABE-E749-8C66-7A807EDE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240" w:after="0"/>
    </w:pPr>
    <w:rPr>
      <w:rFonts w:ascii="Tw Cen MT Condensed Extra Bold" w:eastAsia="Times New Roman" w:hAnsi="Tw Cen MT Condensed Extra Bold" w:cs="Times New Roman"/>
      <w:color w:val="262626"/>
      <w:sz w:val="32"/>
      <w:szCs w:val="32"/>
    </w:rPr>
  </w:style>
  <w:style w:type="paragraph" w:styleId="Heading2">
    <w:name w:val="heading 2"/>
    <w:basedOn w:val="Normal"/>
    <w:next w:val="Normal"/>
    <w:uiPriority w:val="9"/>
    <w:unhideWhenUsed/>
    <w:qFormat/>
    <w:pPr>
      <w:keepNext/>
      <w:keepLines/>
      <w:spacing w:before="40" w:after="0"/>
      <w:outlineLvl w:val="1"/>
    </w:pPr>
    <w:rPr>
      <w:rFonts w:ascii="Tw Cen MT Condensed Extra Bold" w:eastAsia="Times New Roman" w:hAnsi="Tw Cen MT Condensed Extra Bold" w:cs="Times New Roman"/>
      <w:color w:val="262626"/>
      <w:sz w:val="28"/>
      <w:szCs w:val="28"/>
    </w:rPr>
  </w:style>
  <w:style w:type="paragraph" w:styleId="Heading3">
    <w:name w:val="heading 3"/>
    <w:basedOn w:val="Normal"/>
    <w:next w:val="Normal"/>
    <w:uiPriority w:val="9"/>
    <w:unhideWhenUsed/>
    <w:qFormat/>
    <w:pPr>
      <w:keepNext/>
      <w:keepLines/>
      <w:spacing w:before="40" w:after="0"/>
      <w:outlineLvl w:val="2"/>
    </w:pPr>
    <w:rPr>
      <w:rFonts w:ascii="Tw Cen MT Condensed Extra Bold" w:eastAsia="Times New Roman" w:hAnsi="Tw Cen MT Condensed Extra Bold" w:cs="Times New Roman"/>
      <w:color w:val="0D0D0D"/>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Tw Cen MT Condensed Extra Bold" w:eastAsia="Times New Roman" w:hAnsi="Tw Cen MT Condensed Extra Bold" w:cs="Times New Roman"/>
      <w:i/>
      <w:iCs/>
      <w:color w:val="404040"/>
    </w:rPr>
  </w:style>
  <w:style w:type="paragraph" w:styleId="Heading5">
    <w:name w:val="heading 5"/>
    <w:basedOn w:val="Normal"/>
    <w:next w:val="Normal"/>
    <w:uiPriority w:val="9"/>
    <w:semiHidden/>
    <w:unhideWhenUsed/>
    <w:qFormat/>
    <w:pPr>
      <w:keepNext/>
      <w:keepLines/>
      <w:spacing w:before="40" w:after="0"/>
      <w:outlineLvl w:val="4"/>
    </w:pPr>
    <w:rPr>
      <w:rFonts w:ascii="Tw Cen MT Condensed Extra Bold" w:eastAsia="Times New Roman" w:hAnsi="Tw Cen MT Condensed Extra Bold" w:cs="Times New Roman"/>
      <w:color w:val="404040"/>
    </w:rPr>
  </w:style>
  <w:style w:type="paragraph" w:styleId="Heading6">
    <w:name w:val="heading 6"/>
    <w:basedOn w:val="Normal"/>
    <w:next w:val="Normal"/>
    <w:uiPriority w:val="9"/>
    <w:semiHidden/>
    <w:unhideWhenUsed/>
    <w:qFormat/>
    <w:pPr>
      <w:keepNext/>
      <w:keepLines/>
      <w:spacing w:before="40" w:after="0"/>
      <w:outlineLvl w:val="5"/>
    </w:pPr>
    <w:rPr>
      <w:rFonts w:ascii="Tw Cen MT Condensed Extra Bold" w:eastAsia="Times New Roman" w:hAnsi="Tw Cen MT Condensed Extra Bold" w:cs="Times New Roman"/>
    </w:rPr>
  </w:style>
  <w:style w:type="paragraph" w:styleId="Heading7">
    <w:name w:val="heading 7"/>
    <w:basedOn w:val="Normal"/>
    <w:next w:val="Normal"/>
    <w:qFormat/>
    <w:pPr>
      <w:keepNext/>
      <w:keepLines/>
      <w:spacing w:before="40" w:after="0"/>
      <w:outlineLvl w:val="6"/>
    </w:pPr>
    <w:rPr>
      <w:rFonts w:ascii="Tw Cen MT Condensed Extra Bold" w:eastAsia="Times New Roman" w:hAnsi="Tw Cen MT Condensed Extra Bold" w:cs="Times New Roman"/>
      <w:i/>
      <w:iCs/>
    </w:rPr>
  </w:style>
  <w:style w:type="paragraph" w:styleId="Heading8">
    <w:name w:val="heading 8"/>
    <w:basedOn w:val="Normal"/>
    <w:next w:val="Normal"/>
    <w:qFormat/>
    <w:pPr>
      <w:keepNext/>
      <w:keepLines/>
      <w:spacing w:before="40" w:after="0"/>
      <w:outlineLvl w:val="7"/>
    </w:pPr>
    <w:rPr>
      <w:rFonts w:ascii="Tw Cen MT Condensed Extra Bold" w:eastAsia="Times New Roman" w:hAnsi="Tw Cen MT Condensed Extra Bold" w:cs="Times New Roman"/>
      <w:color w:val="262626"/>
      <w:sz w:val="21"/>
      <w:szCs w:val="21"/>
    </w:rPr>
  </w:style>
  <w:style w:type="paragraph" w:styleId="Heading9">
    <w:name w:val="heading 9"/>
    <w:basedOn w:val="Normal"/>
    <w:next w:val="Normal"/>
    <w:qFormat/>
    <w:pPr>
      <w:keepNext/>
      <w:keepLines/>
      <w:spacing w:before="40" w:after="0"/>
      <w:outlineLvl w:val="8"/>
    </w:pPr>
    <w:rPr>
      <w:rFonts w:ascii="Tw Cen MT Condensed Extra Bold" w:eastAsia="Times New Roman" w:hAnsi="Tw Cen MT Condensed Extra Bold" w:cs="Times New Roman"/>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rFonts w:ascii="Tw Cen MT Condensed Extra Bold" w:eastAsia="Times New Roman" w:hAnsi="Tw Cen MT Condensed Extra Bold" w:cs="Times New Roman"/>
      <w:spacing w:val="-10"/>
      <w:sz w:val="56"/>
      <w:szCs w:val="56"/>
    </w:rPr>
  </w:style>
  <w:style w:type="character" w:customStyle="1" w:styleId="Heading1Char">
    <w:name w:val="Heading 1 Char"/>
    <w:rPr>
      <w:rFonts w:ascii="Tw Cen MT Condensed Extra Bold" w:eastAsia="Times New Roman" w:hAnsi="Tw Cen MT Condensed Extra Bold" w:cs="Times New Roman"/>
      <w:color w:val="262626"/>
      <w:w w:val="100"/>
      <w:position w:val="-1"/>
      <w:sz w:val="32"/>
      <w:szCs w:val="32"/>
      <w:effect w:val="none"/>
      <w:vertAlign w:val="baseline"/>
      <w:cs w:val="0"/>
      <w:em w:val="none"/>
    </w:rPr>
  </w:style>
  <w:style w:type="character" w:customStyle="1" w:styleId="Heading2Char">
    <w:name w:val="Heading 2 Char"/>
    <w:rPr>
      <w:rFonts w:ascii="Tw Cen MT Condensed Extra Bold" w:eastAsia="Times New Roman" w:hAnsi="Tw Cen MT Condensed Extra Bold" w:cs="Times New Roman"/>
      <w:color w:val="262626"/>
      <w:w w:val="100"/>
      <w:position w:val="-1"/>
      <w:sz w:val="28"/>
      <w:szCs w:val="28"/>
      <w:effect w:val="none"/>
      <w:vertAlign w:val="baseline"/>
      <w:cs w:val="0"/>
      <w:em w:val="none"/>
    </w:rPr>
  </w:style>
  <w:style w:type="character" w:customStyle="1" w:styleId="Heading3Char">
    <w:name w:val="Heading 3 Char"/>
    <w:rPr>
      <w:rFonts w:ascii="Tw Cen MT Condensed Extra Bold" w:eastAsia="Times New Roman" w:hAnsi="Tw Cen MT Condensed Extra Bold" w:cs="Times New Roman"/>
      <w:color w:val="0D0D0D"/>
      <w:w w:val="100"/>
      <w:position w:val="-1"/>
      <w:sz w:val="24"/>
      <w:szCs w:val="24"/>
      <w:effect w:val="none"/>
      <w:vertAlign w:val="baseline"/>
      <w:cs w:val="0"/>
      <w:em w:val="none"/>
    </w:rPr>
  </w:style>
  <w:style w:type="character" w:customStyle="1" w:styleId="Heading4Char">
    <w:name w:val="Heading 4 Char"/>
    <w:rPr>
      <w:rFonts w:ascii="Tw Cen MT Condensed Extra Bold" w:eastAsia="Times New Roman" w:hAnsi="Tw Cen MT Condensed Extra Bold" w:cs="Times New Roman"/>
      <w:i/>
      <w:iCs/>
      <w:color w:val="404040"/>
      <w:w w:val="100"/>
      <w:position w:val="-1"/>
      <w:sz w:val="20"/>
      <w:szCs w:val="20"/>
      <w:effect w:val="none"/>
      <w:vertAlign w:val="baseline"/>
      <w:cs w:val="0"/>
      <w:em w:val="none"/>
    </w:rPr>
  </w:style>
  <w:style w:type="character" w:customStyle="1" w:styleId="Heading5Char">
    <w:name w:val="Heading 5 Char"/>
    <w:rPr>
      <w:rFonts w:ascii="Tw Cen MT Condensed Extra Bold" w:eastAsia="Times New Roman" w:hAnsi="Tw Cen MT Condensed Extra Bold" w:cs="Times New Roman"/>
      <w:color w:val="404040"/>
      <w:w w:val="100"/>
      <w:position w:val="-1"/>
      <w:sz w:val="20"/>
      <w:szCs w:val="20"/>
      <w:effect w:val="none"/>
      <w:vertAlign w:val="baseline"/>
      <w:cs w:val="0"/>
      <w:em w:val="none"/>
    </w:rPr>
  </w:style>
  <w:style w:type="character" w:customStyle="1" w:styleId="Heading6Char">
    <w:name w:val="Heading 6 Char"/>
    <w:rPr>
      <w:rFonts w:ascii="Tw Cen MT Condensed Extra Bold" w:eastAsia="Times New Roman" w:hAnsi="Tw Cen MT Condensed Extra Bold" w:cs="Times New Roman"/>
      <w:w w:val="100"/>
      <w:position w:val="-1"/>
      <w:sz w:val="20"/>
      <w:szCs w:val="20"/>
      <w:effect w:val="none"/>
      <w:vertAlign w:val="baseline"/>
      <w:cs w:val="0"/>
      <w:em w:val="none"/>
    </w:rPr>
  </w:style>
  <w:style w:type="character" w:customStyle="1" w:styleId="Heading7Char">
    <w:name w:val="Heading 7 Char"/>
    <w:rPr>
      <w:rFonts w:ascii="Tw Cen MT Condensed Extra Bold" w:eastAsia="Times New Roman" w:hAnsi="Tw Cen MT Condensed Extra Bold" w:cs="Times New Roman"/>
      <w:i/>
      <w:iCs/>
      <w:w w:val="100"/>
      <w:position w:val="-1"/>
      <w:sz w:val="20"/>
      <w:szCs w:val="20"/>
      <w:effect w:val="none"/>
      <w:vertAlign w:val="baseline"/>
      <w:cs w:val="0"/>
      <w:em w:val="none"/>
    </w:rPr>
  </w:style>
  <w:style w:type="character" w:customStyle="1" w:styleId="Heading8Char">
    <w:name w:val="Heading 8 Char"/>
    <w:rPr>
      <w:rFonts w:ascii="Tw Cen MT Condensed Extra Bold" w:eastAsia="Times New Roman" w:hAnsi="Tw Cen MT Condensed Extra Bold" w:cs="Times New Roman"/>
      <w:color w:val="262626"/>
      <w:w w:val="100"/>
      <w:position w:val="-1"/>
      <w:sz w:val="21"/>
      <w:szCs w:val="21"/>
      <w:effect w:val="none"/>
      <w:vertAlign w:val="baseline"/>
      <w:cs w:val="0"/>
      <w:em w:val="none"/>
    </w:rPr>
  </w:style>
  <w:style w:type="character" w:customStyle="1" w:styleId="Heading9Char">
    <w:name w:val="Heading 9 Char"/>
    <w:rPr>
      <w:rFonts w:ascii="Tw Cen MT Condensed Extra Bold" w:eastAsia="Times New Roman" w:hAnsi="Tw Cen MT Condensed Extra Bold" w:cs="Times New Roman"/>
      <w:i/>
      <w:iCs/>
      <w:color w:val="262626"/>
      <w:w w:val="100"/>
      <w:position w:val="-1"/>
      <w:sz w:val="21"/>
      <w:szCs w:val="21"/>
      <w:effect w:val="none"/>
      <w:vertAlign w:val="baseline"/>
      <w:cs w:val="0"/>
      <w:em w:val="none"/>
    </w:rPr>
  </w:style>
  <w:style w:type="paragraph" w:styleId="Caption">
    <w:name w:val="caption"/>
    <w:basedOn w:val="Normal"/>
    <w:next w:val="Normal"/>
    <w:qFormat/>
    <w:pPr>
      <w:spacing w:after="200" w:line="240" w:lineRule="auto"/>
    </w:pPr>
    <w:rPr>
      <w:i/>
      <w:iCs/>
      <w:color w:val="44546A"/>
      <w:sz w:val="18"/>
      <w:szCs w:val="18"/>
    </w:rPr>
  </w:style>
  <w:style w:type="character" w:customStyle="1" w:styleId="TitleChar">
    <w:name w:val="Title Char"/>
    <w:rPr>
      <w:rFonts w:ascii="Tw Cen MT Condensed Extra Bold" w:eastAsia="Times New Roman" w:hAnsi="Tw Cen MT Condensed Extra Bold" w:cs="Times New Roman"/>
      <w:spacing w:val="-10"/>
      <w:w w:val="100"/>
      <w:position w:val="-1"/>
      <w:sz w:val="56"/>
      <w:szCs w:val="56"/>
      <w:effect w:val="none"/>
      <w:vertAlign w:val="baseline"/>
      <w:cs w:val="0"/>
      <w:em w:val="none"/>
    </w:rPr>
  </w:style>
  <w:style w:type="paragraph" w:styleId="Subtitle">
    <w:name w:val="Subtitle"/>
    <w:basedOn w:val="Normal"/>
    <w:next w:val="Normal"/>
    <w:uiPriority w:val="11"/>
    <w:qFormat/>
    <w:rPr>
      <w:color w:val="5A5A5A"/>
    </w:rPr>
  </w:style>
  <w:style w:type="character" w:customStyle="1" w:styleId="SubtitleChar">
    <w:name w:val="Subtitle Char"/>
    <w:rPr>
      <w:color w:val="5A5A5A"/>
      <w:spacing w:val="15"/>
      <w:w w:val="100"/>
      <w:position w:val="-1"/>
      <w:sz w:val="20"/>
      <w:szCs w:val="20"/>
      <w:effect w:val="none"/>
      <w:vertAlign w:val="baseline"/>
      <w:cs w:val="0"/>
      <w:em w:val="none"/>
    </w:rPr>
  </w:style>
  <w:style w:type="character" w:styleId="Strong">
    <w:name w:val="Strong"/>
    <w:rPr>
      <w:b/>
      <w:bCs/>
      <w:color w:val="auto"/>
      <w:w w:val="100"/>
      <w:position w:val="-1"/>
      <w:effect w:val="none"/>
      <w:vertAlign w:val="baseline"/>
      <w:cs w:val="0"/>
      <w:em w:val="none"/>
    </w:rPr>
  </w:style>
  <w:style w:type="character" w:styleId="Emphasis">
    <w:name w:val="Emphasis"/>
    <w:rPr>
      <w:i/>
      <w:iCs/>
      <w:color w:val="auto"/>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ListParagraph">
    <w:name w:val="List Paragraph"/>
    <w:basedOn w:val="Normal"/>
    <w:uiPriority w:val="34"/>
    <w:qFormat/>
    <w:pPr>
      <w:ind w:left="720"/>
      <w:contextualSpacing/>
    </w:pPr>
  </w:style>
  <w:style w:type="paragraph" w:styleId="Quote">
    <w:name w:val="Quote"/>
    <w:basedOn w:val="Normal"/>
    <w:next w:val="Normal"/>
    <w:pPr>
      <w:spacing w:before="200"/>
      <w:ind w:left="864" w:right="864"/>
    </w:pPr>
    <w:rPr>
      <w:i/>
      <w:iCs/>
      <w:color w:val="404040"/>
    </w:rPr>
  </w:style>
  <w:style w:type="character" w:customStyle="1" w:styleId="QuoteChar">
    <w:name w:val="Quote Char"/>
    <w:rPr>
      <w:i/>
      <w:iCs/>
      <w:color w:val="404040"/>
      <w:w w:val="100"/>
      <w:position w:val="-1"/>
      <w:sz w:val="20"/>
      <w:szCs w:val="20"/>
      <w:effect w:val="none"/>
      <w:vertAlign w:val="baseline"/>
      <w:cs w:val="0"/>
      <w:em w:val="none"/>
    </w:rPr>
  </w:style>
  <w:style w:type="paragraph" w:styleId="IntenseQuote">
    <w:name w:val="Intense Quote"/>
    <w:basedOn w:val="Normal"/>
    <w:next w:val="Normal"/>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rPr>
      <w:i/>
      <w:iCs/>
      <w:color w:val="404040"/>
      <w:w w:val="100"/>
      <w:position w:val="-1"/>
      <w:sz w:val="20"/>
      <w:szCs w:val="20"/>
      <w:effect w:val="none"/>
      <w:vertAlign w:val="baseline"/>
      <w:cs w:val="0"/>
      <w:em w:val="none"/>
    </w:rPr>
  </w:style>
  <w:style w:type="character" w:styleId="SubtleEmphasis">
    <w:name w:val="Subtle Emphasis"/>
    <w:rPr>
      <w:i/>
      <w:iCs/>
      <w:color w:val="404040"/>
      <w:w w:val="100"/>
      <w:position w:val="-1"/>
      <w:effect w:val="none"/>
      <w:vertAlign w:val="baseline"/>
      <w:cs w:val="0"/>
      <w:em w:val="none"/>
    </w:rPr>
  </w:style>
  <w:style w:type="character" w:styleId="IntenseEmphasis">
    <w:name w:val="Intense Emphasis"/>
    <w:rPr>
      <w:b/>
      <w:bCs/>
      <w:i/>
      <w:iCs/>
      <w:color w:val="auto"/>
      <w:w w:val="100"/>
      <w:position w:val="-1"/>
      <w:effect w:val="none"/>
      <w:vertAlign w:val="baseline"/>
      <w:cs w:val="0"/>
      <w:em w:val="none"/>
    </w:rPr>
  </w:style>
  <w:style w:type="character" w:styleId="SubtleReference">
    <w:name w:val="Subtle Reference"/>
    <w:rPr>
      <w:smallCaps/>
      <w:color w:val="404040"/>
      <w:w w:val="100"/>
      <w:position w:val="-1"/>
      <w:effect w:val="none"/>
      <w:vertAlign w:val="baseline"/>
      <w:cs w:val="0"/>
      <w:em w:val="none"/>
    </w:rPr>
  </w:style>
  <w:style w:type="character" w:styleId="IntenseReference">
    <w:name w:val="Intense Reference"/>
    <w:rPr>
      <w:b/>
      <w:bCs/>
      <w:smallCaps/>
      <w:color w:val="404040"/>
      <w:spacing w:val="5"/>
      <w:w w:val="100"/>
      <w:position w:val="-1"/>
      <w:effect w:val="none"/>
      <w:vertAlign w:val="baseline"/>
      <w:cs w:val="0"/>
      <w:em w:val="none"/>
    </w:rPr>
  </w:style>
  <w:style w:type="character" w:styleId="BookTitle">
    <w:name w:val="Book Title"/>
    <w:rPr>
      <w:b/>
      <w:bCs/>
      <w:i/>
      <w:iC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customStyle="1" w:styleId="ColorfulList-Accent11">
    <w:name w:val="Colorful List - Accent 11"/>
    <w:basedOn w:val="Normal"/>
    <w:pPr>
      <w:spacing w:after="0" w:line="276" w:lineRule="auto"/>
      <w:ind w:left="720"/>
      <w:contextualSpacing/>
    </w:p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pPr>
      <w:spacing w:after="0" w:line="276" w:lineRule="auto"/>
    </w:pPr>
  </w:style>
  <w:style w:type="character" w:customStyle="1" w:styleId="FooterChar">
    <w:name w:val="Footer Char"/>
    <w:rPr>
      <w:rFonts w:ascii="Georgia" w:eastAsia="Times New Roman" w:hAnsi="Georgia" w:cs="Times New Roman"/>
      <w:w w:val="100"/>
      <w:position w:val="-1"/>
      <w:sz w:val="20"/>
      <w:szCs w:val="20"/>
      <w:effect w:val="none"/>
      <w:vertAlign w:val="baseline"/>
      <w:cs w:val="0"/>
      <w:em w:val="none"/>
    </w:rPr>
  </w:style>
  <w:style w:type="paragraph" w:styleId="Header">
    <w:name w:val="header"/>
    <w:basedOn w:val="Normal"/>
    <w:pPr>
      <w:spacing w:after="0" w:line="240" w:lineRule="auto"/>
      <w:jc w:val="right"/>
    </w:pPr>
    <w:rPr>
      <w:color w:val="333333"/>
      <w:sz w:val="16"/>
      <w:szCs w:val="16"/>
    </w:rPr>
  </w:style>
  <w:style w:type="character" w:customStyle="1" w:styleId="HeaderChar">
    <w:name w:val="Header Char"/>
    <w:rPr>
      <w:color w:val="333333"/>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w w:val="100"/>
      <w:position w:val="-1"/>
      <w:u w:val="single"/>
      <w:effect w:val="none"/>
      <w:vertAlign w:val="baseline"/>
      <w:cs w:val="0"/>
      <w:em w:val="none"/>
    </w:rPr>
  </w:style>
  <w:style w:type="character" w:styleId="CommentReference">
    <w:name w:val="annotation reference"/>
    <w:uiPriority w:val="99"/>
    <w:qFormat/>
    <w:rPr>
      <w:w w:val="100"/>
      <w:position w:val="-1"/>
      <w:sz w:val="16"/>
      <w:szCs w:val="16"/>
      <w:effect w:val="none"/>
      <w:vertAlign w:val="baseline"/>
      <w:cs w:val="0"/>
      <w:em w:val="none"/>
    </w:rPr>
  </w:style>
  <w:style w:type="paragraph" w:styleId="CommentText">
    <w:name w:val="annotation text"/>
    <w:basedOn w:val="Normal"/>
    <w:uiPriority w:val="99"/>
    <w:qFormat/>
  </w:style>
  <w:style w:type="character" w:customStyle="1" w:styleId="CommentTextChar">
    <w:name w:val="Comment Text Char"/>
    <w:uiPriority w:val="99"/>
    <w:rPr>
      <w:w w:val="100"/>
      <w:position w:val="-1"/>
      <w:effect w:val="none"/>
      <w:vertAlign w:val="baseline"/>
      <w:cs w:val="0"/>
      <w:em w:val="none"/>
    </w:rPr>
  </w:style>
  <w:style w:type="paragraph" w:styleId="CommentSubject">
    <w:name w:val="annotation subject"/>
    <w:basedOn w:val="CommentText"/>
    <w:next w:val="CommentText"/>
    <w:uiPriority w:val="99"/>
    <w:qFormat/>
    <w:rPr>
      <w:b/>
      <w:bCs/>
    </w:rPr>
  </w:style>
  <w:style w:type="character" w:customStyle="1" w:styleId="CommentSubjectChar">
    <w:name w:val="Comment Subject Char"/>
    <w:uiPriority w:val="99"/>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Segoe UI" w:eastAsia="Times New Roman"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odyText">
    <w:name w:val="Body Text"/>
    <w:basedOn w:val="Normal"/>
    <w:link w:val="BodyTextChar"/>
    <w:uiPriority w:val="1"/>
    <w:qFormat/>
    <w:rsid w:val="004664D7"/>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sz w:val="21"/>
      <w:szCs w:val="21"/>
    </w:rPr>
  </w:style>
  <w:style w:type="character" w:customStyle="1" w:styleId="BodyTextChar">
    <w:name w:val="Body Text Char"/>
    <w:basedOn w:val="DefaultParagraphFont"/>
    <w:link w:val="BodyText"/>
    <w:uiPriority w:val="1"/>
    <w:rsid w:val="004664D7"/>
    <w:rPr>
      <w:rFonts w:ascii="Arial" w:eastAsia="Arial" w:hAnsi="Arial" w:cs="Arial"/>
      <w:sz w:val="21"/>
      <w:szCs w:val="21"/>
    </w:rPr>
  </w:style>
  <w:style w:type="paragraph" w:customStyle="1" w:styleId="TableParagraph">
    <w:name w:val="Table Paragraph"/>
    <w:basedOn w:val="Normal"/>
    <w:uiPriority w:val="1"/>
    <w:qFormat/>
    <w:rsid w:val="008C2CEE"/>
    <w:pPr>
      <w:widowControl w:val="0"/>
      <w:suppressAutoHyphens w:val="0"/>
      <w:autoSpaceDE w:val="0"/>
      <w:autoSpaceDN w:val="0"/>
      <w:spacing w:after="0" w:line="240" w:lineRule="auto"/>
      <w:ind w:leftChars="0" w:left="114" w:firstLineChars="0" w:firstLine="0"/>
      <w:textDirection w:val="lrTb"/>
      <w:textAlignment w:val="auto"/>
      <w:outlineLvl w:val="9"/>
    </w:pPr>
    <w:rPr>
      <w:rFonts w:ascii="Times New Roman" w:eastAsia="Times New Roman" w:hAnsi="Times New Roman" w:cs="Times New Roman"/>
      <w:position w:val="0"/>
      <w:sz w:val="22"/>
      <w:szCs w:val="22"/>
    </w:rPr>
  </w:style>
  <w:style w:type="paragraph" w:styleId="Revision">
    <w:name w:val="Revision"/>
    <w:hidden/>
    <w:uiPriority w:val="99"/>
    <w:semiHidden/>
    <w:rsid w:val="00C424C1"/>
    <w:pPr>
      <w:spacing w:after="0" w:line="240" w:lineRule="auto"/>
    </w:pPr>
    <w:rPr>
      <w:position w:val="-1"/>
    </w:rPr>
  </w:style>
  <w:style w:type="character" w:styleId="UnresolvedMention">
    <w:name w:val="Unresolved Mention"/>
    <w:basedOn w:val="DefaultParagraphFont"/>
    <w:uiPriority w:val="99"/>
    <w:semiHidden/>
    <w:unhideWhenUsed/>
    <w:rsid w:val="00EE6CE8"/>
    <w:rPr>
      <w:color w:val="605E5C"/>
      <w:shd w:val="clear" w:color="auto" w:fill="E1DFDD"/>
    </w:rPr>
  </w:style>
  <w:style w:type="character" w:customStyle="1" w:styleId="a-size-extra-large">
    <w:name w:val="a-size-extra-large"/>
    <w:basedOn w:val="DefaultParagraphFont"/>
    <w:rsid w:val="00C40CD0"/>
  </w:style>
  <w:style w:type="paragraph" w:customStyle="1" w:styleId="Default">
    <w:name w:val="Default"/>
    <w:rsid w:val="00122F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4301">
      <w:bodyDiv w:val="1"/>
      <w:marLeft w:val="0"/>
      <w:marRight w:val="0"/>
      <w:marTop w:val="0"/>
      <w:marBottom w:val="0"/>
      <w:divBdr>
        <w:top w:val="none" w:sz="0" w:space="0" w:color="auto"/>
        <w:left w:val="none" w:sz="0" w:space="0" w:color="auto"/>
        <w:bottom w:val="none" w:sz="0" w:space="0" w:color="auto"/>
        <w:right w:val="none" w:sz="0" w:space="0" w:color="auto"/>
      </w:divBdr>
    </w:div>
    <w:div w:id="78449441">
      <w:bodyDiv w:val="1"/>
      <w:marLeft w:val="0"/>
      <w:marRight w:val="0"/>
      <w:marTop w:val="0"/>
      <w:marBottom w:val="0"/>
      <w:divBdr>
        <w:top w:val="none" w:sz="0" w:space="0" w:color="auto"/>
        <w:left w:val="none" w:sz="0" w:space="0" w:color="auto"/>
        <w:bottom w:val="none" w:sz="0" w:space="0" w:color="auto"/>
        <w:right w:val="none" w:sz="0" w:space="0" w:color="auto"/>
      </w:divBdr>
    </w:div>
    <w:div w:id="80179172">
      <w:bodyDiv w:val="1"/>
      <w:marLeft w:val="0"/>
      <w:marRight w:val="0"/>
      <w:marTop w:val="0"/>
      <w:marBottom w:val="0"/>
      <w:divBdr>
        <w:top w:val="none" w:sz="0" w:space="0" w:color="auto"/>
        <w:left w:val="none" w:sz="0" w:space="0" w:color="auto"/>
        <w:bottom w:val="none" w:sz="0" w:space="0" w:color="auto"/>
        <w:right w:val="none" w:sz="0" w:space="0" w:color="auto"/>
      </w:divBdr>
    </w:div>
    <w:div w:id="315646191">
      <w:bodyDiv w:val="1"/>
      <w:marLeft w:val="0"/>
      <w:marRight w:val="0"/>
      <w:marTop w:val="0"/>
      <w:marBottom w:val="0"/>
      <w:divBdr>
        <w:top w:val="none" w:sz="0" w:space="0" w:color="auto"/>
        <w:left w:val="none" w:sz="0" w:space="0" w:color="auto"/>
        <w:bottom w:val="none" w:sz="0" w:space="0" w:color="auto"/>
        <w:right w:val="none" w:sz="0" w:space="0" w:color="auto"/>
      </w:divBdr>
    </w:div>
    <w:div w:id="568001278">
      <w:bodyDiv w:val="1"/>
      <w:marLeft w:val="0"/>
      <w:marRight w:val="0"/>
      <w:marTop w:val="0"/>
      <w:marBottom w:val="0"/>
      <w:divBdr>
        <w:top w:val="none" w:sz="0" w:space="0" w:color="auto"/>
        <w:left w:val="none" w:sz="0" w:space="0" w:color="auto"/>
        <w:bottom w:val="none" w:sz="0" w:space="0" w:color="auto"/>
        <w:right w:val="none" w:sz="0" w:space="0" w:color="auto"/>
      </w:divBdr>
    </w:div>
    <w:div w:id="604190225">
      <w:bodyDiv w:val="1"/>
      <w:marLeft w:val="0"/>
      <w:marRight w:val="0"/>
      <w:marTop w:val="0"/>
      <w:marBottom w:val="0"/>
      <w:divBdr>
        <w:top w:val="none" w:sz="0" w:space="0" w:color="auto"/>
        <w:left w:val="none" w:sz="0" w:space="0" w:color="auto"/>
        <w:bottom w:val="none" w:sz="0" w:space="0" w:color="auto"/>
        <w:right w:val="none" w:sz="0" w:space="0" w:color="auto"/>
      </w:divBdr>
    </w:div>
    <w:div w:id="1500921304">
      <w:bodyDiv w:val="1"/>
      <w:marLeft w:val="0"/>
      <w:marRight w:val="0"/>
      <w:marTop w:val="0"/>
      <w:marBottom w:val="0"/>
      <w:divBdr>
        <w:top w:val="none" w:sz="0" w:space="0" w:color="auto"/>
        <w:left w:val="none" w:sz="0" w:space="0" w:color="auto"/>
        <w:bottom w:val="none" w:sz="0" w:space="0" w:color="auto"/>
        <w:right w:val="none" w:sz="0" w:space="0" w:color="auto"/>
      </w:divBdr>
    </w:div>
    <w:div w:id="1525439774">
      <w:bodyDiv w:val="1"/>
      <w:marLeft w:val="0"/>
      <w:marRight w:val="0"/>
      <w:marTop w:val="0"/>
      <w:marBottom w:val="0"/>
      <w:divBdr>
        <w:top w:val="none" w:sz="0" w:space="0" w:color="auto"/>
        <w:left w:val="none" w:sz="0" w:space="0" w:color="auto"/>
        <w:bottom w:val="none" w:sz="0" w:space="0" w:color="auto"/>
        <w:right w:val="none" w:sz="0" w:space="0" w:color="auto"/>
      </w:divBdr>
    </w:div>
    <w:div w:id="1732732785">
      <w:bodyDiv w:val="1"/>
      <w:marLeft w:val="0"/>
      <w:marRight w:val="0"/>
      <w:marTop w:val="0"/>
      <w:marBottom w:val="0"/>
      <w:divBdr>
        <w:top w:val="none" w:sz="0" w:space="0" w:color="auto"/>
        <w:left w:val="none" w:sz="0" w:space="0" w:color="auto"/>
        <w:bottom w:val="none" w:sz="0" w:space="0" w:color="auto"/>
        <w:right w:val="none" w:sz="0" w:space="0" w:color="auto"/>
      </w:divBdr>
    </w:div>
    <w:div w:id="1812674910">
      <w:bodyDiv w:val="1"/>
      <w:marLeft w:val="0"/>
      <w:marRight w:val="0"/>
      <w:marTop w:val="0"/>
      <w:marBottom w:val="0"/>
      <w:divBdr>
        <w:top w:val="none" w:sz="0" w:space="0" w:color="auto"/>
        <w:left w:val="none" w:sz="0" w:space="0" w:color="auto"/>
        <w:bottom w:val="none" w:sz="0" w:space="0" w:color="auto"/>
        <w:right w:val="none" w:sz="0" w:space="0" w:color="auto"/>
      </w:divBdr>
    </w:div>
    <w:div w:id="1998722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tc.trec.pdx.edu/funding/rfp-general-resear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u.edu/gnar/toolk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hd.ces.census.gov/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u.edu/gna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fmKT6NkRncZbzQ0haFXfkuS2g==">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8733</Words>
  <Characters>49783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Eva-Maria Muecke</dc:creator>
  <cp:lastModifiedBy>Danya Lee Rumore</cp:lastModifiedBy>
  <cp:revision>6</cp:revision>
  <dcterms:created xsi:type="dcterms:W3CDTF">2021-07-09T18:22:00Z</dcterms:created>
  <dcterms:modified xsi:type="dcterms:W3CDTF">2021-07-09T18:43:00Z</dcterms:modified>
</cp:coreProperties>
</file>