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79" w:rsidRDefault="009E1479" w:rsidP="009E1479">
      <w:pPr>
        <w:jc w:val="center"/>
        <w:rPr>
          <w:b/>
        </w:rPr>
      </w:pPr>
      <w:bookmarkStart w:id="0" w:name="_GoBack"/>
      <w:bookmarkEnd w:id="0"/>
      <w:r w:rsidRPr="009D5F5A">
        <w:rPr>
          <w:b/>
        </w:rPr>
        <w:t xml:space="preserve">Region Staff Meeting Best Practices </w:t>
      </w:r>
      <w:r>
        <w:rPr>
          <w:b/>
        </w:rPr>
        <w:t>FCS/4H</w:t>
      </w:r>
    </w:p>
    <w:p w:rsidR="009E1479" w:rsidRDefault="009E1479" w:rsidP="009E1479">
      <w:pPr>
        <w:pBdr>
          <w:bottom w:val="single" w:sz="12" w:space="1" w:color="auto"/>
        </w:pBdr>
        <w:jc w:val="center"/>
        <w:rPr>
          <w:b/>
        </w:rPr>
      </w:pPr>
      <w:r>
        <w:rPr>
          <w:b/>
        </w:rPr>
        <w:t>May 11, 2016</w:t>
      </w:r>
    </w:p>
    <w:p w:rsidR="009E1479" w:rsidRPr="00D36788" w:rsidRDefault="009E1479" w:rsidP="009E1479">
      <w:pPr>
        <w:rPr>
          <w:b/>
        </w:rPr>
      </w:pPr>
      <w:r w:rsidRPr="00D36788">
        <w:rPr>
          <w:b/>
        </w:rPr>
        <w:t>GaeLynn Peterson, Suzi Prevedel, Cindy Nelson</w:t>
      </w:r>
    </w:p>
    <w:p w:rsidR="009E1479" w:rsidRPr="0079268A" w:rsidRDefault="009E1479" w:rsidP="009E1479">
      <w:r>
        <w:t>Title:  I</w:t>
      </w:r>
      <w:r w:rsidRPr="0079268A">
        <w:t>mproving health equity through unive</w:t>
      </w:r>
      <w:r>
        <w:t xml:space="preserve">rsity community partnerships:  </w:t>
      </w:r>
      <w:r w:rsidRPr="0079268A">
        <w:t xml:space="preserve">motivational-interview-based community wellness coaching in </w:t>
      </w:r>
      <w:r>
        <w:t xml:space="preserve">diverse rural </w:t>
      </w:r>
      <w:r w:rsidRPr="0079268A">
        <w:t>and urban Utah Communities.</w:t>
      </w:r>
    </w:p>
    <w:p w:rsidR="009E1479" w:rsidRPr="0079268A" w:rsidRDefault="009E1479" w:rsidP="009E1479">
      <w:pPr>
        <w:widowControl w:val="0"/>
        <w:autoSpaceDE w:val="0"/>
        <w:autoSpaceDN w:val="0"/>
        <w:adjustRightInd w:val="0"/>
        <w:rPr>
          <w:rFonts w:cs="Times"/>
        </w:rPr>
      </w:pPr>
      <w:r>
        <w:t xml:space="preserve">Description:  </w:t>
      </w:r>
      <w:r w:rsidRPr="0079268A">
        <w:rPr>
          <w:rFonts w:cs="Times"/>
        </w:rPr>
        <w:t xml:space="preserve">The Community Wellness Coaching (CWC) program was implemented by four extension faculty in their counties (Beaver, Duchesne, Wayne, and San Juan) through a collaborative partnership with the Department of Public Health faculty at the University of Utah. Peer community wellness coaches were hired and trained, and participants were recruited. Coaches utilized scripted motivational interviewing (MI) during coaching sessions to help participants identify health goals related to physical activity and healthy eating. Monthly group activities were designed to reinforce wellness behaviors. The CWC program design encouraged sustainable behavior changes in diet and physical activity, resulting in participant-set goal successes in nutrition and physical activity behavior. The data was collected </w:t>
      </w:r>
      <w:r>
        <w:rPr>
          <w:rFonts w:cs="Times"/>
        </w:rPr>
        <w:t>through REDCap (</w:t>
      </w:r>
      <w:r w:rsidRPr="0079268A">
        <w:rPr>
          <w:rFonts w:cs="Times"/>
        </w:rPr>
        <w:t>University of Utah IRB #55195).</w:t>
      </w:r>
    </w:p>
    <w:p w:rsidR="009E1479" w:rsidRDefault="009E1479" w:rsidP="009E1479">
      <w:pPr>
        <w:pBdr>
          <w:bottom w:val="single" w:sz="12" w:space="1" w:color="auto"/>
        </w:pBdr>
      </w:pPr>
    </w:p>
    <w:p w:rsidR="009E1479" w:rsidRPr="00D36788" w:rsidRDefault="009E1479" w:rsidP="009E1479">
      <w:pPr>
        <w:rPr>
          <w:b/>
        </w:rPr>
      </w:pPr>
      <w:r>
        <w:rPr>
          <w:b/>
        </w:rPr>
        <w:t>Cindy N</w:t>
      </w:r>
      <w:r w:rsidRPr="00D36788">
        <w:rPr>
          <w:b/>
        </w:rPr>
        <w:t>elson</w:t>
      </w:r>
    </w:p>
    <w:p w:rsidR="009E1479" w:rsidRDefault="009E1479" w:rsidP="009E1479">
      <w:r>
        <w:t>Title:  Three Leadership Curriculums - Southwest 4-H Region Ambassadors</w:t>
      </w:r>
    </w:p>
    <w:p w:rsidR="009E1479" w:rsidRDefault="009E1479" w:rsidP="009E1479">
      <w:r>
        <w:t>I will discuss the program details and give an update on the three leadership curriculums that have been developed and the Southwest 4-H Region Ambassador Handbook.  I will emphasize the program objectives, and the key role that county leaders/mentors play in making the Region Ambassador program successful.  I will share program impacts that were reported through a newly developed program evaluation in Qualtrics.</w:t>
      </w:r>
    </w:p>
    <w:p w:rsidR="009E1479" w:rsidRDefault="009E1479" w:rsidP="009E1479">
      <w:pPr>
        <w:pBdr>
          <w:bottom w:val="single" w:sz="12" w:space="1" w:color="auto"/>
        </w:pBdr>
      </w:pPr>
    </w:p>
    <w:p w:rsidR="009E1479" w:rsidRPr="00D36788" w:rsidRDefault="009E1479" w:rsidP="009E1479">
      <w:pPr>
        <w:rPr>
          <w:b/>
        </w:rPr>
      </w:pPr>
      <w:r w:rsidRPr="00D36788">
        <w:rPr>
          <w:b/>
        </w:rPr>
        <w:t xml:space="preserve">Paul Hill </w:t>
      </w:r>
    </w:p>
    <w:p w:rsidR="009E1479" w:rsidRDefault="009E1479" w:rsidP="009E1479">
      <w:r>
        <w:t>Title: Launchpad Program</w:t>
      </w:r>
    </w:p>
    <w:p w:rsidR="009E1479" w:rsidRDefault="009E1479" w:rsidP="009E1479">
      <w:r>
        <w:t>Description: This is a story about how I stole a tech apprenticeship program and made it better.</w:t>
      </w:r>
    </w:p>
    <w:p w:rsidR="009E1479" w:rsidRDefault="009E1479" w:rsidP="009E1479">
      <w:pPr>
        <w:pBdr>
          <w:bottom w:val="single" w:sz="12" w:space="1" w:color="auto"/>
        </w:pBdr>
      </w:pPr>
    </w:p>
    <w:p w:rsidR="009E1479" w:rsidRPr="000E546D" w:rsidRDefault="009E1479" w:rsidP="009E1479">
      <w:pPr>
        <w:rPr>
          <w:b/>
        </w:rPr>
      </w:pPr>
      <w:r>
        <w:rPr>
          <w:b/>
        </w:rPr>
        <w:t>Deric</w:t>
      </w:r>
      <w:r w:rsidRPr="000E546D">
        <w:rPr>
          <w:b/>
        </w:rPr>
        <w:t xml:space="preserve"> Desp</w:t>
      </w:r>
      <w:r>
        <w:rPr>
          <w:b/>
        </w:rPr>
        <w:t>ain</w:t>
      </w:r>
    </w:p>
    <w:p w:rsidR="009E1479" w:rsidRPr="00D20CFB" w:rsidRDefault="009E1479" w:rsidP="009E1479">
      <w:r>
        <w:t xml:space="preserve">Title:  </w:t>
      </w:r>
      <w:r w:rsidRPr="00D20CFB">
        <w:t>Gross Office Happiness.</w:t>
      </w:r>
    </w:p>
    <w:p w:rsidR="009E1479" w:rsidRPr="00CB2F32" w:rsidRDefault="009E1479" w:rsidP="009E1479">
      <w:r>
        <w:t>This means that County 4H, Extension</w:t>
      </w:r>
      <w:r w:rsidRPr="00CB2F32">
        <w:t xml:space="preserve"> </w:t>
      </w:r>
      <w:r>
        <w:t xml:space="preserve">offices, </w:t>
      </w:r>
      <w:r w:rsidRPr="00CB2F32">
        <w:t>and staff</w:t>
      </w:r>
      <w:r>
        <w:t xml:space="preserve"> members are being challenged to take on the aggressive goal</w:t>
      </w:r>
      <w:r w:rsidRPr="00CB2F32">
        <w:t xml:space="preserve"> to maintain being the: </w:t>
      </w:r>
    </w:p>
    <w:p w:rsidR="009E1479" w:rsidRPr="00CB2F32" w:rsidRDefault="009E1479" w:rsidP="009E1479">
      <w:pPr>
        <w:numPr>
          <w:ilvl w:val="0"/>
          <w:numId w:val="1"/>
        </w:numPr>
      </w:pPr>
      <w:r w:rsidRPr="00CB2F32">
        <w:t>BEST 4H and Extension team and extension office in the State of Utah.</w:t>
      </w:r>
    </w:p>
    <w:p w:rsidR="009E1479" w:rsidRDefault="009E1479" w:rsidP="009E1479">
      <w:pPr>
        <w:numPr>
          <w:ilvl w:val="0"/>
          <w:numId w:val="1"/>
        </w:numPr>
      </w:pPr>
      <w:r w:rsidRPr="00CB2F32">
        <w:t>Providing positive experiences and positive service for ever</w:t>
      </w:r>
      <w:r>
        <w:t>yone in their</w:t>
      </w:r>
      <w:r w:rsidRPr="00CB2F32">
        <w:t xml:space="preserve"> County.</w:t>
      </w:r>
    </w:p>
    <w:p w:rsidR="009E1479" w:rsidRPr="00CB2F32" w:rsidRDefault="009E1479" w:rsidP="009E1479">
      <w:pPr>
        <w:numPr>
          <w:ilvl w:val="0"/>
          <w:numId w:val="1"/>
        </w:numPr>
        <w:spacing w:line="256" w:lineRule="auto"/>
      </w:pPr>
      <w:r>
        <w:t>Ensure that individual and team success is driven by overall Gross Office Happiness.</w:t>
      </w:r>
    </w:p>
    <w:p w:rsidR="009E1479" w:rsidRDefault="009E1479" w:rsidP="009E1479">
      <w:pPr>
        <w:numPr>
          <w:ilvl w:val="0"/>
          <w:numId w:val="1"/>
        </w:numPr>
        <w:spacing w:line="256" w:lineRule="auto"/>
      </w:pPr>
      <w:r>
        <w:t>Happiness is the precursor to hard work and success.</w:t>
      </w:r>
    </w:p>
    <w:p w:rsidR="009E1479" w:rsidRDefault="009E1479" w:rsidP="009E1479">
      <w:pPr>
        <w:numPr>
          <w:ilvl w:val="0"/>
          <w:numId w:val="2"/>
        </w:numPr>
        <w:spacing w:line="256" w:lineRule="auto"/>
      </w:pPr>
      <w:r>
        <w:rPr>
          <w:b/>
          <w:bCs/>
        </w:rPr>
        <w:t>Happiness, What's the Real Message?</w:t>
      </w:r>
    </w:p>
    <w:p w:rsidR="009E1479" w:rsidRDefault="009E1479" w:rsidP="009E1479">
      <w:pPr>
        <w:numPr>
          <w:ilvl w:val="0"/>
          <w:numId w:val="2"/>
        </w:numPr>
        <w:spacing w:line="256" w:lineRule="auto"/>
      </w:pPr>
      <w:r>
        <w:lastRenderedPageBreak/>
        <w:t>It's that happiness can't be bought or sold. It doesn't come gift wrapped or marked down 10 percent. It isn't in the money you make, whose name is on your clothing, or how you get around town. Happiness is in your accomplishments (Evans, 2015).</w:t>
      </w:r>
    </w:p>
    <w:p w:rsidR="009E1479" w:rsidRDefault="009E1479" w:rsidP="009E1479">
      <w:pPr>
        <w:pBdr>
          <w:bottom w:val="single" w:sz="12" w:space="1" w:color="auto"/>
        </w:pBdr>
      </w:pPr>
      <w:r>
        <w:t>County USU Extension employees are passionate in their profession, but yet, and more importantly they are fulfilled by the sense of accomplishment that comes with helping and serving others.</w:t>
      </w:r>
    </w:p>
    <w:p w:rsidR="009E1479" w:rsidRDefault="009E1479" w:rsidP="009E1479">
      <w:pPr>
        <w:pBdr>
          <w:bottom w:val="single" w:sz="12" w:space="1" w:color="auto"/>
        </w:pBdr>
      </w:pPr>
    </w:p>
    <w:p w:rsidR="009E1479" w:rsidRPr="00D36788" w:rsidRDefault="009E1479" w:rsidP="009E1479">
      <w:pPr>
        <w:rPr>
          <w:b/>
        </w:rPr>
      </w:pPr>
      <w:r w:rsidRPr="00D36788">
        <w:rPr>
          <w:b/>
        </w:rPr>
        <w:t>Suzanne Prevedel, Cindy Nelson</w:t>
      </w:r>
    </w:p>
    <w:p w:rsidR="009E1479" w:rsidRDefault="009E1479" w:rsidP="009E1479">
      <w:r>
        <w:t>Title: Cooperative Extension’s National Framework for Health and Wellness 2014 Update Chronic Disease Prevention and Management Team Tasks</w:t>
      </w:r>
    </w:p>
    <w:p w:rsidR="009E1479" w:rsidRDefault="009E1479" w:rsidP="009E1479">
      <w:r>
        <w:t>Description:       Brief overview, Current Progress, Future Opportunities</w:t>
      </w:r>
    </w:p>
    <w:p w:rsidR="009E1479" w:rsidRDefault="009E1479" w:rsidP="009E1479">
      <w:pPr>
        <w:pBdr>
          <w:bottom w:val="single" w:sz="12" w:space="1" w:color="auto"/>
        </w:pBdr>
        <w:spacing w:line="240" w:lineRule="auto"/>
        <w:contextualSpacing/>
        <w:rPr>
          <w:rFonts w:cs="Times New Roman"/>
        </w:rPr>
      </w:pPr>
    </w:p>
    <w:p w:rsidR="009E1479" w:rsidRDefault="009E1479" w:rsidP="009E1479"/>
    <w:p w:rsidR="009E1479" w:rsidRPr="005A7459" w:rsidRDefault="009E1479" w:rsidP="009E1479">
      <w:pPr>
        <w:rPr>
          <w:rFonts w:ascii="Calibri" w:eastAsia="Times New Roman" w:hAnsi="Calibri" w:cs="Times New Roman"/>
          <w:b/>
          <w:color w:val="000000"/>
          <w:sz w:val="21"/>
          <w:szCs w:val="21"/>
        </w:rPr>
      </w:pPr>
      <w:r w:rsidRPr="005A7459">
        <w:rPr>
          <w:rFonts w:ascii="Calibri" w:eastAsia="Times New Roman" w:hAnsi="Calibri" w:cs="Times New Roman"/>
          <w:b/>
          <w:color w:val="000000"/>
          <w:sz w:val="21"/>
          <w:szCs w:val="21"/>
        </w:rPr>
        <w:t>Ginger Hack</w:t>
      </w:r>
    </w:p>
    <w:p w:rsidR="009E1479" w:rsidRDefault="009E1479" w:rsidP="009E1479">
      <w:pPr>
        <w:rPr>
          <w:rFonts w:ascii="Calibri" w:eastAsia="Times New Roman" w:hAnsi="Calibri" w:cs="Times New Roman"/>
          <w:color w:val="000000"/>
          <w:sz w:val="21"/>
          <w:szCs w:val="21"/>
        </w:rPr>
      </w:pPr>
      <w:r>
        <w:rPr>
          <w:rFonts w:ascii="Calibri" w:eastAsia="Times New Roman" w:hAnsi="Calibri" w:cs="Times New Roman"/>
          <w:color w:val="000000"/>
          <w:sz w:val="21"/>
          <w:szCs w:val="21"/>
        </w:rPr>
        <w:t>Title:  Client Books.  </w:t>
      </w:r>
    </w:p>
    <w:p w:rsidR="009E1479" w:rsidRDefault="009E1479" w:rsidP="009E1479">
      <w:pPr>
        <w:rPr>
          <w:rFonts w:ascii="Calibri" w:eastAsia="Times New Roman" w:hAnsi="Calibri" w:cs="Times New Roman"/>
          <w:color w:val="000000"/>
          <w:sz w:val="21"/>
          <w:szCs w:val="21"/>
        </w:rPr>
      </w:pPr>
      <w:r>
        <w:rPr>
          <w:rFonts w:ascii="Calibri" w:eastAsia="Times New Roman" w:hAnsi="Calibri" w:cs="Times New Roman"/>
          <w:color w:val="000000"/>
          <w:sz w:val="21"/>
          <w:szCs w:val="21"/>
        </w:rPr>
        <w:t>Description:  Client books are something I borrowed from my retail years.  </w:t>
      </w:r>
    </w:p>
    <w:p w:rsidR="009E1479" w:rsidRPr="00D20CFB" w:rsidRDefault="009E1479" w:rsidP="009E1479">
      <w:pPr>
        <w:pBdr>
          <w:bottom w:val="single" w:sz="12" w:space="1" w:color="auto"/>
        </w:pBdr>
      </w:pPr>
    </w:p>
    <w:p w:rsidR="009E1479" w:rsidRPr="001E462D" w:rsidRDefault="009E1479" w:rsidP="009E1479">
      <w:pPr>
        <w:spacing w:line="240" w:lineRule="auto"/>
        <w:contextualSpacing/>
        <w:rPr>
          <w:rFonts w:cs="Times New Roman"/>
        </w:rPr>
      </w:pPr>
    </w:p>
    <w:p w:rsidR="009E1479" w:rsidRDefault="009E1479" w:rsidP="009E1479">
      <w:pPr>
        <w:spacing w:line="240" w:lineRule="auto"/>
        <w:contextualSpacing/>
        <w:rPr>
          <w:rFonts w:cs="Times New Roman"/>
          <w:b/>
        </w:rPr>
      </w:pPr>
      <w:r>
        <w:rPr>
          <w:rFonts w:cs="Times New Roman"/>
          <w:b/>
        </w:rPr>
        <w:t>Rebecca Mills</w:t>
      </w:r>
    </w:p>
    <w:p w:rsidR="009E1479" w:rsidRDefault="009E1479" w:rsidP="009E1479">
      <w:pPr>
        <w:spacing w:line="240" w:lineRule="auto"/>
        <w:contextualSpacing/>
        <w:rPr>
          <w:rFonts w:cs="Times New Roman"/>
          <w:b/>
        </w:rPr>
      </w:pPr>
    </w:p>
    <w:p w:rsidR="009E1479" w:rsidRDefault="009E1479" w:rsidP="009E1479">
      <w:pPr>
        <w:spacing w:line="240" w:lineRule="auto"/>
        <w:contextualSpacing/>
        <w:rPr>
          <w:rFonts w:cs="Times New Roman"/>
        </w:rPr>
      </w:pPr>
      <w:r w:rsidRPr="00D36788">
        <w:rPr>
          <w:rFonts w:cs="Times New Roman"/>
        </w:rPr>
        <w:t>Title:  Making Time to Write</w:t>
      </w:r>
    </w:p>
    <w:p w:rsidR="009E1479" w:rsidRDefault="009E1479" w:rsidP="009E1479">
      <w:pPr>
        <w:spacing w:line="240" w:lineRule="auto"/>
        <w:contextualSpacing/>
        <w:rPr>
          <w:rFonts w:cs="Times New Roman"/>
        </w:rPr>
      </w:pPr>
    </w:p>
    <w:p w:rsidR="009E1479" w:rsidRPr="003D57AC" w:rsidRDefault="009E1479" w:rsidP="009E1479">
      <w:r>
        <w:t>Description: The pressure to produce written scholarship results in gray hairs and furrowed brows and “finding” time is a losing game. The trick to success in producing written scholarship is all about MAKING time to write.  I’ll share tips and resources to re-train your writing habits and an invitation to put those tips into practice with a writing project opportunity in the subjects of Food and Food Preservation that you won’t want to pass up.</w:t>
      </w:r>
    </w:p>
    <w:p w:rsidR="009E1479" w:rsidRPr="00D20CFB" w:rsidRDefault="009E1479" w:rsidP="009E1479">
      <w:pPr>
        <w:pBdr>
          <w:bottom w:val="single" w:sz="12" w:space="1" w:color="auto"/>
        </w:pBdr>
      </w:pPr>
    </w:p>
    <w:p w:rsidR="009E1479" w:rsidRPr="00D36788" w:rsidRDefault="009E1479" w:rsidP="009E1479">
      <w:pPr>
        <w:spacing w:line="240" w:lineRule="auto"/>
        <w:contextualSpacing/>
        <w:rPr>
          <w:rFonts w:cs="Times New Roman"/>
        </w:rPr>
      </w:pPr>
    </w:p>
    <w:p w:rsidR="009E1479" w:rsidRPr="001E462D" w:rsidRDefault="009E1479" w:rsidP="009E1479">
      <w:pPr>
        <w:spacing w:line="240" w:lineRule="auto"/>
        <w:contextualSpacing/>
        <w:rPr>
          <w:rFonts w:cs="Times New Roman"/>
          <w:b/>
        </w:rPr>
      </w:pPr>
      <w:r>
        <w:rPr>
          <w:rFonts w:cs="Times New Roman"/>
          <w:b/>
        </w:rPr>
        <w:t>SuzAnne Jorgensen</w:t>
      </w:r>
    </w:p>
    <w:p w:rsidR="009E1479" w:rsidRDefault="009E1479" w:rsidP="009E1479">
      <w:pPr>
        <w:shd w:val="clear" w:color="auto" w:fill="FFFFFF"/>
        <w:spacing w:before="100" w:beforeAutospacing="1" w:after="100" w:afterAutospacing="1"/>
        <w:rPr>
          <w:color w:val="000000"/>
        </w:rPr>
      </w:pPr>
      <w:r>
        <w:rPr>
          <w:rFonts w:ascii="Calibri" w:hAnsi="Calibri"/>
          <w:color w:val="000000"/>
        </w:rPr>
        <w:t>Title: VITA Comes in Different Shapes and Sizes</w:t>
      </w:r>
      <w:r>
        <w:rPr>
          <w:color w:val="000000"/>
        </w:rPr>
        <w:t xml:space="preserve"> </w:t>
      </w:r>
    </w:p>
    <w:p w:rsidR="009E1479" w:rsidRDefault="009E1479" w:rsidP="009E1479">
      <w:pPr>
        <w:shd w:val="clear" w:color="auto" w:fill="FFFFFF"/>
        <w:spacing w:before="100" w:beforeAutospacing="1" w:after="100" w:afterAutospacing="1"/>
        <w:rPr>
          <w:color w:val="000000"/>
        </w:rPr>
      </w:pPr>
      <w:r>
        <w:rPr>
          <w:color w:val="000000"/>
        </w:rPr>
        <w:t>As the first year Extension functioned as a VITA (Volunteer Income Tax Assistance) site in Garfield County, it was a success.  Both remote processing as well as a direct volunteer were utilized to process taxpayers returns.  Referrals came from 211 as well as word of mouth.  Even remote communities were served.</w:t>
      </w:r>
    </w:p>
    <w:p w:rsidR="009E1479" w:rsidRDefault="009E1479" w:rsidP="009E1479">
      <w:pPr>
        <w:shd w:val="clear" w:color="auto" w:fill="FFFFFF"/>
        <w:rPr>
          <w:rFonts w:ascii="Calibri" w:hAnsi="Calibri"/>
          <w:color w:val="000000"/>
        </w:rPr>
      </w:pPr>
      <w:r>
        <w:rPr>
          <w:rFonts w:ascii="Calibri" w:hAnsi="Calibri"/>
          <w:color w:val="000000"/>
        </w:rPr>
        <w:t> </w:t>
      </w:r>
    </w:p>
    <w:p w:rsidR="009E1479" w:rsidRDefault="009E1479" w:rsidP="009D5F5A">
      <w:pPr>
        <w:jc w:val="center"/>
        <w:rPr>
          <w:b/>
        </w:rPr>
      </w:pPr>
    </w:p>
    <w:p w:rsidR="009E1479" w:rsidRDefault="009E1479">
      <w:pPr>
        <w:rPr>
          <w:b/>
        </w:rPr>
      </w:pPr>
      <w:r>
        <w:rPr>
          <w:b/>
        </w:rPr>
        <w:br w:type="page"/>
      </w:r>
    </w:p>
    <w:p w:rsidR="00443033" w:rsidRDefault="000E546D" w:rsidP="009D5F5A">
      <w:pPr>
        <w:jc w:val="center"/>
        <w:rPr>
          <w:b/>
        </w:rPr>
      </w:pPr>
      <w:r w:rsidRPr="009D5F5A">
        <w:rPr>
          <w:b/>
        </w:rPr>
        <w:lastRenderedPageBreak/>
        <w:t>Region St</w:t>
      </w:r>
      <w:r w:rsidR="001B3C9F">
        <w:rPr>
          <w:b/>
        </w:rPr>
        <w:t>aff Meeting Best Practices Ag/NR</w:t>
      </w:r>
      <w:r w:rsidRPr="009D5F5A">
        <w:rPr>
          <w:b/>
        </w:rPr>
        <w:t>/4-H</w:t>
      </w:r>
    </w:p>
    <w:p w:rsidR="009D5F5A" w:rsidRDefault="009D5F5A" w:rsidP="009D5F5A">
      <w:pPr>
        <w:pBdr>
          <w:bottom w:val="single" w:sz="12" w:space="1" w:color="auto"/>
        </w:pBdr>
        <w:jc w:val="center"/>
        <w:rPr>
          <w:b/>
        </w:rPr>
      </w:pPr>
      <w:r>
        <w:rPr>
          <w:b/>
        </w:rPr>
        <w:t>May 11, 2016</w:t>
      </w:r>
    </w:p>
    <w:p w:rsidR="000E546D" w:rsidRPr="000E546D" w:rsidRDefault="000E546D">
      <w:pPr>
        <w:rPr>
          <w:b/>
        </w:rPr>
      </w:pPr>
      <w:r w:rsidRPr="000E546D">
        <w:rPr>
          <w:b/>
        </w:rPr>
        <w:t>Chad Reid, Iron County</w:t>
      </w:r>
    </w:p>
    <w:p w:rsidR="009D5F5A" w:rsidRDefault="000E546D">
      <w:r>
        <w:t>Seeking Sustainability, Returning Fire to Our Landscapes.</w:t>
      </w:r>
    </w:p>
    <w:p w:rsidR="000E546D" w:rsidRDefault="000E546D">
      <w:pPr>
        <w:pBdr>
          <w:bottom w:val="single" w:sz="12" w:space="1" w:color="auto"/>
        </w:pBdr>
      </w:pPr>
      <w:r>
        <w:t>In the presentation I will briefly describe the role of fire in landscapes, and the past and present history of fire in landscapes in the West. I will also relate this to sustainability in our landscapes.</w:t>
      </w:r>
    </w:p>
    <w:p w:rsidR="000E546D" w:rsidRPr="000E546D" w:rsidRDefault="000E546D">
      <w:pPr>
        <w:rPr>
          <w:b/>
        </w:rPr>
      </w:pPr>
      <w:r w:rsidRPr="000E546D">
        <w:rPr>
          <w:b/>
        </w:rPr>
        <w:t xml:space="preserve">Dennis Worwood, Emery </w:t>
      </w:r>
      <w:r w:rsidR="009D5F5A">
        <w:rPr>
          <w:b/>
        </w:rPr>
        <w:t>County</w:t>
      </w:r>
    </w:p>
    <w:p w:rsidR="000E546D" w:rsidRDefault="000E546D" w:rsidP="000E546D">
      <w:r>
        <w:t>Vegetative Reproduction in Russian Olive:  Implications for Control</w:t>
      </w:r>
    </w:p>
    <w:p w:rsidR="000E546D" w:rsidRDefault="000E546D" w:rsidP="000E546D">
      <w:r>
        <w:t>Russian olive reproduces by seed, and vegetatively from latent buds on the crown and stems, and from root suckers.  Research conducted by Dennis Worwood and Ron Patterson in Emery and Carbon Counties demonstrated that Russian olives can be effectively controlled by applying undiluted herbicide (glyphosate) to the cambium layer of stems immediately after they are cut.  The assumption has been that herbicide is translocated to the roots, killing the entire plant.  Research in California and Montana, coupled with observation of Russian olive growth in Carbon and Emery Counties suggest that cut stump herbicide treatment kills latent crown buds, but may not kill roots, and that Russian olive roots may not sucker unless exposed to light.  Under this scenario, live but undisturbed roots of a treated stump would not produce root suckers.</w:t>
      </w:r>
    </w:p>
    <w:p w:rsidR="000E546D" w:rsidRDefault="000E546D" w:rsidP="000E546D">
      <w:pPr>
        <w:pBdr>
          <w:bottom w:val="single" w:sz="12" w:space="1" w:color="auto"/>
        </w:pBdr>
      </w:pPr>
      <w:r>
        <w:t>Extension is conducting tests to determine factors that trigger root suckering in Russian olive by treating cut stems with herbicide and then exposing roots, and by killing latent crown buds by grinding or burning stumps and then monitoring plants for root suckers.  Russian olive root suckers are more difficult to kill than seedling trees of similar size.   If tests prove that light exposure is needed for root suckering in Russian olive, control can be effected by simply burying exposed roots when trees are disturbed or removed.</w:t>
      </w:r>
    </w:p>
    <w:p w:rsidR="000E546D" w:rsidRPr="000E546D" w:rsidRDefault="004145A0" w:rsidP="000E546D">
      <w:pPr>
        <w:rPr>
          <w:b/>
        </w:rPr>
      </w:pPr>
      <w:r>
        <w:rPr>
          <w:b/>
        </w:rPr>
        <w:t>Der</w:t>
      </w:r>
      <w:r w:rsidR="002C08A1">
        <w:rPr>
          <w:b/>
        </w:rPr>
        <w:t>ic</w:t>
      </w:r>
      <w:r w:rsidR="000E546D" w:rsidRPr="000E546D">
        <w:rPr>
          <w:b/>
        </w:rPr>
        <w:t xml:space="preserve"> Despain, Millard County</w:t>
      </w:r>
    </w:p>
    <w:p w:rsidR="000E546D" w:rsidRPr="00CB2F32" w:rsidRDefault="000E546D" w:rsidP="000E546D">
      <w:pPr>
        <w:ind w:left="720"/>
        <w:jc w:val="center"/>
      </w:pPr>
      <w:r w:rsidRPr="00CB2F32">
        <w:rPr>
          <w:i/>
          <w:iCs/>
          <w:u w:val="single"/>
        </w:rPr>
        <w:t>Gross Office Happiness.</w:t>
      </w:r>
    </w:p>
    <w:p w:rsidR="000E546D" w:rsidRPr="00CB2F32" w:rsidRDefault="000E546D" w:rsidP="000E546D">
      <w:r>
        <w:t>This means that County 4H, Extension</w:t>
      </w:r>
      <w:r w:rsidRPr="00CB2F32">
        <w:t xml:space="preserve"> </w:t>
      </w:r>
      <w:r>
        <w:t xml:space="preserve">offices, </w:t>
      </w:r>
      <w:r w:rsidRPr="00CB2F32">
        <w:t>and staff</w:t>
      </w:r>
      <w:r>
        <w:t xml:space="preserve"> members are being challenged to take on the aggressive goal</w:t>
      </w:r>
      <w:r w:rsidRPr="00CB2F32">
        <w:t xml:space="preserve"> to maintain being the: </w:t>
      </w:r>
    </w:p>
    <w:p w:rsidR="000E546D" w:rsidRPr="00CB2F32" w:rsidRDefault="000E546D" w:rsidP="000E546D">
      <w:pPr>
        <w:numPr>
          <w:ilvl w:val="0"/>
          <w:numId w:val="1"/>
        </w:numPr>
      </w:pPr>
      <w:r w:rsidRPr="00CB2F32">
        <w:t>BEST 4H and Extension team and extension office in the State of Utah.</w:t>
      </w:r>
    </w:p>
    <w:p w:rsidR="000E546D" w:rsidRPr="00CB2F32" w:rsidRDefault="000E546D" w:rsidP="000E546D">
      <w:pPr>
        <w:numPr>
          <w:ilvl w:val="0"/>
          <w:numId w:val="1"/>
        </w:numPr>
      </w:pPr>
      <w:r w:rsidRPr="00CB2F32">
        <w:t>Providing positive experiences and positive service for ever</w:t>
      </w:r>
      <w:r>
        <w:t>yone in their</w:t>
      </w:r>
      <w:r w:rsidRPr="00CB2F32">
        <w:t xml:space="preserve"> County.</w:t>
      </w:r>
    </w:p>
    <w:p w:rsidR="000E546D" w:rsidRDefault="000E546D" w:rsidP="000E546D">
      <w:pPr>
        <w:numPr>
          <w:ilvl w:val="0"/>
          <w:numId w:val="1"/>
        </w:numPr>
      </w:pPr>
      <w:r>
        <w:t>Ensure that individual and team success is driven by</w:t>
      </w:r>
      <w:r w:rsidRPr="00CB2F32">
        <w:t xml:space="preserve"> overall Gross Office Happiness.</w:t>
      </w:r>
    </w:p>
    <w:p w:rsidR="000E546D" w:rsidRDefault="000E546D" w:rsidP="000E546D">
      <w:pPr>
        <w:numPr>
          <w:ilvl w:val="0"/>
          <w:numId w:val="1"/>
        </w:numPr>
      </w:pPr>
      <w:r>
        <w:t>Happiness is the precursor to hard work and success.</w:t>
      </w:r>
    </w:p>
    <w:p w:rsidR="000E546D" w:rsidRPr="00B42084" w:rsidRDefault="000E546D" w:rsidP="000E546D">
      <w:pPr>
        <w:numPr>
          <w:ilvl w:val="0"/>
          <w:numId w:val="2"/>
        </w:numPr>
      </w:pPr>
      <w:r w:rsidRPr="00B42084">
        <w:rPr>
          <w:b/>
          <w:bCs/>
        </w:rPr>
        <w:t>Happiness, What's the Real Message?</w:t>
      </w:r>
    </w:p>
    <w:p w:rsidR="000E546D" w:rsidRPr="00B42084" w:rsidRDefault="000E546D" w:rsidP="000E546D">
      <w:pPr>
        <w:numPr>
          <w:ilvl w:val="0"/>
          <w:numId w:val="2"/>
        </w:numPr>
      </w:pPr>
      <w:r w:rsidRPr="00B42084">
        <w:t>It's that happiness can't be bought or sold. It doesn't come gift wrapped or marked down 10 percent. It isn't in the money you make, whose name is on your clothing, or how you get around town. Happiness is in your accomplishments (Evans, 2015).</w:t>
      </w:r>
    </w:p>
    <w:p w:rsidR="000E546D" w:rsidRDefault="000E546D" w:rsidP="000E546D">
      <w:pPr>
        <w:pBdr>
          <w:bottom w:val="single" w:sz="12" w:space="1" w:color="auto"/>
        </w:pBdr>
      </w:pPr>
      <w:r w:rsidRPr="00B42084">
        <w:t>County USU Extension employees are passionate in their profession, but yet, and more importantly they are fulfilled by the sense of accomplishment that comes with helping and serving others.</w:t>
      </w:r>
    </w:p>
    <w:p w:rsidR="000E546D" w:rsidRDefault="000E546D" w:rsidP="000E546D"/>
    <w:p w:rsidR="00A57B0F" w:rsidRDefault="00A57B0F" w:rsidP="000E546D">
      <w:pPr>
        <w:rPr>
          <w:b/>
        </w:rPr>
      </w:pPr>
    </w:p>
    <w:p w:rsidR="000E546D" w:rsidRPr="000E546D" w:rsidRDefault="000E546D" w:rsidP="000E546D">
      <w:pPr>
        <w:rPr>
          <w:b/>
        </w:rPr>
      </w:pPr>
      <w:r w:rsidRPr="000E546D">
        <w:rPr>
          <w:b/>
        </w:rPr>
        <w:lastRenderedPageBreak/>
        <w:t>Ron Patterson—Carbon County</w:t>
      </w:r>
    </w:p>
    <w:p w:rsidR="000E546D" w:rsidRDefault="000E546D" w:rsidP="000E546D">
      <w:r>
        <w:t>Pulling the Community Together with a Community Garden</w:t>
      </w:r>
    </w:p>
    <w:p w:rsidR="005842BD" w:rsidRDefault="000E546D" w:rsidP="005842BD">
      <w:pPr>
        <w:pBdr>
          <w:bottom w:val="single" w:sz="12" w:space="1" w:color="auto"/>
        </w:pBdr>
      </w:pPr>
      <w:r>
        <w:t>The Carbon County Food Bank has access to a piece of property nearby that is about 1/3 acre. A previous Extension agent tried to establish the property as a water-wise demonstration plot. Eventually the weeds took over. With my encouragement, the Food Bank tried to convert it to a vegetable garden with water supplied by Price City. I assisted with these efforts but did not have the time to manage the entire project. Finally, a USU Master Gardener got involved and pulled her father into the effort. Additional Master Gardeners joined and involved local businesses and volunteer groups in the community garden. In 2014 things started to turn more positive. Over 3000# of produce was harvested for the Food Bank. In spring 2015 I determined to use the garden in part as an educational venue. A high tunnel was built and trellising was erected for some of the plants. Volunteers learned about trellising tomatoes and cucumbers. This action helped to put a lot more focus in the local media on the Food Bank Community Garden. Over 10,000# of produce was harvested from the garden in 2015, due in large part to the community focus. For 2016 more community organizations are getting involved, providing volunteers and supplies. The goal is to have over 12,000# of produce for the Carbon County Food Bank.</w:t>
      </w:r>
    </w:p>
    <w:p w:rsidR="000E546D" w:rsidRDefault="000E546D" w:rsidP="000E546D"/>
    <w:p w:rsidR="000E546D" w:rsidRPr="000E546D" w:rsidRDefault="000E546D" w:rsidP="000E546D">
      <w:pPr>
        <w:rPr>
          <w:b/>
        </w:rPr>
      </w:pPr>
      <w:r w:rsidRPr="000E546D">
        <w:rPr>
          <w:b/>
        </w:rPr>
        <w:t>Kevin Heaton, Garfield/Kane Counties</w:t>
      </w:r>
    </w:p>
    <w:p w:rsidR="000E546D" w:rsidRPr="000E546D" w:rsidRDefault="000E546D" w:rsidP="000E546D">
      <w:pPr>
        <w:rPr>
          <w:bCs/>
          <w:szCs w:val="24"/>
        </w:rPr>
      </w:pPr>
      <w:r>
        <w:rPr>
          <w:bCs/>
          <w:szCs w:val="24"/>
        </w:rPr>
        <w:t>D</w:t>
      </w:r>
      <w:r w:rsidRPr="000E546D">
        <w:rPr>
          <w:bCs/>
          <w:szCs w:val="24"/>
        </w:rPr>
        <w:t>o genetic defects in junior lives</w:t>
      </w:r>
      <w:r>
        <w:rPr>
          <w:bCs/>
          <w:szCs w:val="24"/>
        </w:rPr>
        <w:t>tock show projects in southern U</w:t>
      </w:r>
      <w:r w:rsidRPr="000E546D">
        <w:rPr>
          <w:bCs/>
          <w:szCs w:val="24"/>
        </w:rPr>
        <w:t>tah affect pork quality?</w:t>
      </w:r>
    </w:p>
    <w:p w:rsidR="000E546D" w:rsidRDefault="000E546D" w:rsidP="000E546D">
      <w:pPr>
        <w:pBdr>
          <w:bottom w:val="single" w:sz="12" w:space="1" w:color="auto"/>
        </w:pBdr>
      </w:pPr>
      <w:r>
        <w:t>Junior livestock projects provide excellent</w:t>
      </w:r>
      <w:r w:rsidRPr="000B0339">
        <w:t xml:space="preserve"> opportunities f</w:t>
      </w:r>
      <w:r>
        <w:t>or</w:t>
      </w:r>
      <w:r w:rsidRPr="000B0339">
        <w:t xml:space="preserve"> education and </w:t>
      </w:r>
      <w:r>
        <w:t xml:space="preserve">positive agricultural </w:t>
      </w:r>
      <w:r w:rsidRPr="000B0339">
        <w:t>experience</w:t>
      </w:r>
      <w:r>
        <w:t>s</w:t>
      </w:r>
      <w:r w:rsidRPr="000B0339">
        <w:t xml:space="preserve"> for youth. </w:t>
      </w:r>
      <w:r>
        <w:t xml:space="preserve"> As genetic testing advances become</w:t>
      </w:r>
      <w:r w:rsidRPr="000B0339">
        <w:t xml:space="preserve"> </w:t>
      </w:r>
      <w:r>
        <w:t>widely</w:t>
      </w:r>
      <w:r w:rsidRPr="000B0339">
        <w:t xml:space="preserve"> </w:t>
      </w:r>
      <w:r>
        <w:t>available</w:t>
      </w:r>
      <w:r w:rsidRPr="000B0339">
        <w:t xml:space="preserve"> to livestock producers</w:t>
      </w:r>
      <w:r>
        <w:t xml:space="preserve">, </w:t>
      </w:r>
      <w:r w:rsidRPr="000B0339">
        <w:t xml:space="preserve">youth </w:t>
      </w:r>
      <w:r>
        <w:t>benefit by</w:t>
      </w:r>
      <w:r w:rsidRPr="000B0339">
        <w:t xml:space="preserve"> learn</w:t>
      </w:r>
      <w:r>
        <w:t>ing</w:t>
      </w:r>
      <w:r w:rsidRPr="000B0339">
        <w:t xml:space="preserve"> </w:t>
      </w:r>
      <w:r>
        <w:t>about</w:t>
      </w:r>
      <w:r w:rsidRPr="000B0339">
        <w:t xml:space="preserve"> the</w:t>
      </w:r>
      <w:r>
        <w:t xml:space="preserve"> benefits and</w:t>
      </w:r>
      <w:r w:rsidRPr="000B0339">
        <w:t xml:space="preserve"> </w:t>
      </w:r>
      <w:r>
        <w:t>applications</w:t>
      </w:r>
      <w:r w:rsidRPr="000B0339">
        <w:t xml:space="preserve"> of genetic testing</w:t>
      </w:r>
      <w:r>
        <w:t xml:space="preserve">.  One application of genetic evaluation is testing for genetic mutations that affect live animal performance and/or carcass quality.  USU Extension tested 38 hogs at tagging for the genetic mutation of porcine stress syndrome (PSS) and rendement napole (RN).  Both PSS and RN effect meat quality and have additive effects if both genes are found in the same animal.  Only three (7.9%) hogs were found to carry the PSS mutation. Twenty-one of the 38 hogs (over 60%) carried the RN- gene which causes pale, soft and exudative meat resulting in a low quality product.  Junior livestock owners market their livestock as “home raised, the best quality that money can buy”.  This data suggests that genetic mutations are limiting the quality of </w:t>
      </w:r>
      <w:r w:rsidRPr="001E462D">
        <w:t>pork in southern Utah.</w:t>
      </w:r>
    </w:p>
    <w:p w:rsidR="005842BD" w:rsidRPr="001E462D" w:rsidRDefault="005842BD" w:rsidP="000E546D"/>
    <w:p w:rsidR="000E546D" w:rsidRPr="001E462D" w:rsidRDefault="000E546D" w:rsidP="000E546D"/>
    <w:p w:rsidR="000E546D" w:rsidRPr="001E462D" w:rsidRDefault="000E546D" w:rsidP="000E546D">
      <w:pPr>
        <w:spacing w:line="240" w:lineRule="auto"/>
        <w:contextualSpacing/>
        <w:rPr>
          <w:rFonts w:cs="Times New Roman"/>
          <w:b/>
        </w:rPr>
      </w:pPr>
      <w:r w:rsidRPr="001E462D">
        <w:rPr>
          <w:rFonts w:cs="Times New Roman"/>
          <w:b/>
        </w:rPr>
        <w:t>Trent Wilde, Wayne/Piute Counties</w:t>
      </w:r>
    </w:p>
    <w:p w:rsidR="000E546D" w:rsidRPr="001E462D" w:rsidRDefault="000E546D" w:rsidP="000E546D">
      <w:pPr>
        <w:spacing w:line="240" w:lineRule="auto"/>
        <w:contextualSpacing/>
        <w:rPr>
          <w:rFonts w:cs="Times New Roman"/>
          <w:b/>
        </w:rPr>
      </w:pPr>
    </w:p>
    <w:p w:rsidR="000E546D" w:rsidRPr="001E462D" w:rsidRDefault="000E546D" w:rsidP="000E546D">
      <w:pPr>
        <w:spacing w:line="240" w:lineRule="auto"/>
        <w:contextualSpacing/>
        <w:rPr>
          <w:rFonts w:cs="Times New Roman"/>
        </w:rPr>
      </w:pPr>
      <w:r w:rsidRPr="001E462D">
        <w:rPr>
          <w:rFonts w:cs="Times New Roman"/>
        </w:rPr>
        <w:t>Utilizing Local Historical Climate Data</w:t>
      </w:r>
    </w:p>
    <w:p w:rsidR="000E546D" w:rsidRPr="001E462D" w:rsidRDefault="000E546D" w:rsidP="000E546D">
      <w:pPr>
        <w:spacing w:line="240" w:lineRule="auto"/>
        <w:contextualSpacing/>
        <w:rPr>
          <w:rFonts w:cs="Times New Roman"/>
        </w:rPr>
      </w:pPr>
    </w:p>
    <w:p w:rsidR="000E546D" w:rsidRDefault="000E546D" w:rsidP="000E546D">
      <w:pPr>
        <w:pBdr>
          <w:bottom w:val="single" w:sz="12" w:space="1" w:color="auto"/>
        </w:pBdr>
        <w:spacing w:line="240" w:lineRule="auto"/>
        <w:contextualSpacing/>
        <w:rPr>
          <w:rFonts w:cs="Times New Roman"/>
        </w:rPr>
      </w:pPr>
      <w:r w:rsidRPr="001E462D">
        <w:rPr>
          <w:rFonts w:cs="Times New Roman"/>
        </w:rPr>
        <w:t xml:space="preserve">Climate records are available for many Utah counties on the Utah Climate Center website: </w:t>
      </w:r>
      <w:hyperlink r:id="rId6" w:history="1">
        <w:r w:rsidRPr="001E462D">
          <w:rPr>
            <w:rStyle w:val="Hyperlink"/>
            <w:rFonts w:cs="Times New Roman"/>
          </w:rPr>
          <w:t>https://climate.usurf.usu.edu/</w:t>
        </w:r>
      </w:hyperlink>
      <w:r w:rsidRPr="001E462D">
        <w:rPr>
          <w:rFonts w:cs="Times New Roman"/>
        </w:rPr>
        <w:t xml:space="preserve"> .  Many of these records go back one hundred years or more, but it can be difficult to analyze these records in the format available on the website.  With a few simple steps these historical records can be imported into a common database management software which allows the records to be easily analyzed.  This process provides valuable information which helps clients better understand their local climate history.</w:t>
      </w:r>
    </w:p>
    <w:p w:rsidR="005842BD" w:rsidRPr="001E462D" w:rsidRDefault="005842BD" w:rsidP="000E546D">
      <w:pPr>
        <w:spacing w:line="240" w:lineRule="auto"/>
        <w:contextualSpacing/>
        <w:rPr>
          <w:rFonts w:cs="Times New Roman"/>
        </w:rPr>
      </w:pPr>
    </w:p>
    <w:p w:rsidR="000E546D" w:rsidRPr="001E462D" w:rsidRDefault="000E546D" w:rsidP="000E546D">
      <w:pPr>
        <w:spacing w:line="240" w:lineRule="auto"/>
        <w:contextualSpacing/>
        <w:rPr>
          <w:rFonts w:cs="Times New Roman"/>
        </w:rPr>
      </w:pPr>
    </w:p>
    <w:p w:rsidR="000E546D" w:rsidRPr="001E462D" w:rsidRDefault="001E462D" w:rsidP="000E546D">
      <w:pPr>
        <w:spacing w:line="240" w:lineRule="auto"/>
        <w:contextualSpacing/>
        <w:rPr>
          <w:rFonts w:cs="Times New Roman"/>
          <w:b/>
        </w:rPr>
      </w:pPr>
      <w:r w:rsidRPr="001E462D">
        <w:rPr>
          <w:rFonts w:cs="Times New Roman"/>
          <w:b/>
        </w:rPr>
        <w:t>Mark Nelson</w:t>
      </w:r>
      <w:r>
        <w:rPr>
          <w:rFonts w:cs="Times New Roman"/>
          <w:b/>
        </w:rPr>
        <w:t>, Beaver County</w:t>
      </w:r>
    </w:p>
    <w:p w:rsidR="001E462D" w:rsidRPr="001E462D" w:rsidRDefault="001E462D" w:rsidP="000E546D">
      <w:pPr>
        <w:spacing w:line="240" w:lineRule="auto"/>
        <w:contextualSpacing/>
        <w:rPr>
          <w:rFonts w:cs="Times New Roman"/>
        </w:rPr>
      </w:pPr>
    </w:p>
    <w:p w:rsidR="001E462D" w:rsidRPr="001E462D" w:rsidRDefault="001E462D" w:rsidP="001E462D">
      <w:r w:rsidRPr="001E462D">
        <w:t>Pocket Gopher Control.</w:t>
      </w:r>
    </w:p>
    <w:p w:rsidR="001E462D" w:rsidRDefault="001E462D" w:rsidP="001E462D">
      <w:pPr>
        <w:pBdr>
          <w:bottom w:val="single" w:sz="12" w:space="1" w:color="auto"/>
        </w:pBdr>
      </w:pPr>
      <w:r w:rsidRPr="001E462D">
        <w:t>I will talk about two years of research that I conducted. The first year we compared using gopher bait to trapping. The 2</w:t>
      </w:r>
      <w:r w:rsidRPr="001E462D">
        <w:rPr>
          <w:vertAlign w:val="superscript"/>
        </w:rPr>
        <w:t>nd</w:t>
      </w:r>
      <w:r w:rsidRPr="001E462D">
        <w:t xml:space="preserve"> year we compared 3 different types of gopher traps.</w:t>
      </w:r>
    </w:p>
    <w:p w:rsidR="001E462D" w:rsidRDefault="001E462D" w:rsidP="001E462D"/>
    <w:p w:rsidR="001E462D" w:rsidRPr="001E462D" w:rsidRDefault="001E462D" w:rsidP="001E462D">
      <w:pPr>
        <w:rPr>
          <w:b/>
        </w:rPr>
      </w:pPr>
      <w:r w:rsidRPr="001E462D">
        <w:rPr>
          <w:b/>
        </w:rPr>
        <w:t>Boyd Kitchen, Uintah County</w:t>
      </w:r>
    </w:p>
    <w:p w:rsidR="001E462D" w:rsidRDefault="001E462D" w:rsidP="001E462D">
      <w:r>
        <w:t xml:space="preserve">Forage Testing in </w:t>
      </w:r>
      <w:smartTag w:uri="urn:schemas-microsoft-com:office:smarttags" w:element="place">
        <w:smartTag w:uri="urn:schemas-microsoft-com:office:smarttags" w:element="PlaceName">
          <w:r>
            <w:t>Uintah</w:t>
          </w:r>
        </w:smartTag>
        <w:r>
          <w:t xml:space="preserve"> </w:t>
        </w:r>
        <w:smartTag w:uri="urn:schemas-microsoft-com:office:smarttags" w:element="PlaceType">
          <w:r>
            <w:t>County</w:t>
          </w:r>
        </w:smartTag>
      </w:smartTag>
      <w:r>
        <w:t xml:space="preserve"> </w:t>
      </w:r>
    </w:p>
    <w:p w:rsidR="001E462D" w:rsidRDefault="001E462D" w:rsidP="001E462D">
      <w:r>
        <w:t xml:space="preserve">Producers request forage testing for three reasons – to balance livestock rations, to market hay and to determine nitrate toxicity. When hay prices were high, fewer producers did feed quality testing as a marketing aid. But when abundant hay supplies in Fall of 2015 caused hay prices to drop, eleven </w:t>
      </w:r>
      <w:smartTag w:uri="urn:schemas-microsoft-com:office:smarttags" w:element="place">
        <w:smartTag w:uri="urn:schemas-microsoft-com:office:smarttags" w:element="PlaceName">
          <w:r>
            <w:t>Uintah</w:t>
          </w:r>
        </w:smartTag>
        <w:r>
          <w:t xml:space="preserve"> </w:t>
        </w:r>
        <w:smartTag w:uri="urn:schemas-microsoft-com:office:smarttags" w:element="PlaceType">
          <w:r>
            <w:t>County</w:t>
          </w:r>
        </w:smartTag>
      </w:smartTag>
      <w:r>
        <w:t xml:space="preserve"> producers needed hay quality testing to help them market their hay. Hay samples were taken from 32 lots totaling 1916 tons of hay. Producers were able to market premium and supreme quality hay for higher prices and received $14,910 more in revenue.</w:t>
      </w:r>
    </w:p>
    <w:p w:rsidR="001E462D" w:rsidRDefault="001E462D" w:rsidP="001E462D">
      <w:r>
        <w:t>Summer annual forage crops are grown by many livestock producers in rotational with alfalfa. Common crops include oat hay, sorghum-sudangrass hay or silage and corn silage. Summer annual forage crops can accumulate toxic concentrations of nitrates which can cause abortions and death in livestock. One producer lost thirty head of cattle in one afternoon twenty years ago in Vernal. Thus, producers are aware of this issue. During 2014 and 2015, sixteen producers requested nitrate tests on 38 forage lots. Five lots were very high in nitrates and would likely have caused animal deaths. Nine lots had marginal levels which may have caused abortions but could be safely mixed with other feeds and fed to non-pregnant animals. Nitrate testing saved producers an estimated $14,800 in fewer aborted calves and death losses from nitrate poisoning.</w:t>
      </w:r>
    </w:p>
    <w:p w:rsidR="001E462D" w:rsidRDefault="001E462D" w:rsidP="001E462D">
      <w:r>
        <w:t>A quick nitrate test was used to help producers manage nitrate levels during harvest.</w:t>
      </w:r>
    </w:p>
    <w:p w:rsidR="005842BD" w:rsidRDefault="001E462D" w:rsidP="001E462D">
      <w:pPr>
        <w:pBdr>
          <w:bottom w:val="single" w:sz="12" w:space="1" w:color="auto"/>
        </w:pBdr>
      </w:pPr>
      <w:r>
        <w:t>(239 words)</w:t>
      </w:r>
      <w:r w:rsidR="005842BD">
        <w:t xml:space="preserve"> </w:t>
      </w:r>
      <w:r>
        <w:t>Key words: Forage testing, nitrates, hay quality</w:t>
      </w:r>
    </w:p>
    <w:p w:rsidR="00DA6BBF" w:rsidRDefault="00DA6BBF" w:rsidP="001E462D">
      <w:pPr>
        <w:pBdr>
          <w:bottom w:val="single" w:sz="12" w:space="1" w:color="auto"/>
        </w:pBdr>
      </w:pPr>
    </w:p>
    <w:p w:rsidR="00DA6BBF" w:rsidRPr="00DA6BBF" w:rsidRDefault="00DA6BBF" w:rsidP="00DA6BBF">
      <w:pPr>
        <w:rPr>
          <w:b/>
        </w:rPr>
      </w:pPr>
      <w:r w:rsidRPr="00DA6BBF">
        <w:rPr>
          <w:b/>
        </w:rPr>
        <w:t>C. Kim Chapman, Small Ruminant Specialist</w:t>
      </w:r>
    </w:p>
    <w:p w:rsidR="00DA6BBF" w:rsidRPr="00DA6BBF" w:rsidRDefault="00DA6BBF" w:rsidP="00DA6BBF">
      <w:r w:rsidRPr="00DA6BBF">
        <w:t>The East African Refugee Goat Project of Utah: Three Years of Progress Toward Sustainability</w:t>
      </w:r>
    </w:p>
    <w:p w:rsidR="009B3666" w:rsidRDefault="00DA6BBF" w:rsidP="009B3666">
      <w:pPr>
        <w:pBdr>
          <w:bottom w:val="single" w:sz="12" w:space="0" w:color="auto"/>
        </w:pBdr>
      </w:pPr>
      <w:r>
        <w:t>This presentation will highlight the progress toward having the project become an economically viable production entity, capable of meeting the needs of the three refugee communities it serves. Challenges met and overcome will be discussed, as well as challenges which are still in the que to be solved and how Extension is being a player in those solutions.</w:t>
      </w:r>
    </w:p>
    <w:p w:rsidR="009B3666" w:rsidRDefault="009B3666" w:rsidP="009B3666">
      <w:pPr>
        <w:pBdr>
          <w:bottom w:val="single" w:sz="12" w:space="0" w:color="auto"/>
        </w:pBdr>
      </w:pPr>
    </w:p>
    <w:p w:rsidR="009B3666" w:rsidRPr="009B3666" w:rsidRDefault="009B3666" w:rsidP="009B3666">
      <w:pPr>
        <w:pBdr>
          <w:bottom w:val="single" w:sz="12" w:space="1" w:color="auto"/>
        </w:pBdr>
        <w:rPr>
          <w:b/>
        </w:rPr>
      </w:pPr>
      <w:r w:rsidRPr="009B3666">
        <w:rPr>
          <w:b/>
        </w:rPr>
        <w:t>Rebecca Mills, Sevier County</w:t>
      </w:r>
    </w:p>
    <w:p w:rsidR="009B3666" w:rsidRDefault="009B3666" w:rsidP="009B3666">
      <w:pPr>
        <w:pBdr>
          <w:bottom w:val="single" w:sz="12" w:space="1" w:color="auto"/>
        </w:pBdr>
      </w:pPr>
      <w:r>
        <w:t>Making Time to Write</w:t>
      </w:r>
    </w:p>
    <w:p w:rsidR="00BA6866" w:rsidRDefault="00BA6866" w:rsidP="009B3666">
      <w:pPr>
        <w:pBdr>
          <w:bottom w:val="single" w:sz="12" w:space="1" w:color="auto"/>
        </w:pBdr>
      </w:pPr>
      <w:r>
        <w:t>The pressure to produce written scholarships results in gray hairs and furrowed brows and “finding” time is a losing game.  The trick to success in producing written scholarship is all about MAKING time to write.  I’ll share tips and resources to re-train your writing habits and an invitation to put those tips into practice with a writing project opportunity on the subjects of Gardening and Composting that you won’t want to pass up.</w:t>
      </w:r>
    </w:p>
    <w:p w:rsidR="009E1479" w:rsidRDefault="009E1479" w:rsidP="009B3666">
      <w:pPr>
        <w:pBdr>
          <w:bottom w:val="single" w:sz="12" w:space="1" w:color="auto"/>
        </w:pBdr>
      </w:pPr>
    </w:p>
    <w:sectPr w:rsidR="009E1479" w:rsidSect="00A57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E2CA0"/>
    <w:multiLevelType w:val="hybridMultilevel"/>
    <w:tmpl w:val="640444C8"/>
    <w:lvl w:ilvl="0" w:tplc="09185470">
      <w:start w:val="1"/>
      <w:numFmt w:val="bullet"/>
      <w:lvlText w:val=""/>
      <w:lvlJc w:val="left"/>
      <w:pPr>
        <w:tabs>
          <w:tab w:val="num" w:pos="720"/>
        </w:tabs>
        <w:ind w:left="720" w:hanging="360"/>
      </w:pPr>
      <w:rPr>
        <w:rFonts w:ascii="Wingdings 3" w:hAnsi="Wingdings 3" w:hint="default"/>
      </w:rPr>
    </w:lvl>
    <w:lvl w:ilvl="1" w:tplc="D5443EBA" w:tentative="1">
      <w:start w:val="1"/>
      <w:numFmt w:val="bullet"/>
      <w:lvlText w:val=""/>
      <w:lvlJc w:val="left"/>
      <w:pPr>
        <w:tabs>
          <w:tab w:val="num" w:pos="1440"/>
        </w:tabs>
        <w:ind w:left="1440" w:hanging="360"/>
      </w:pPr>
      <w:rPr>
        <w:rFonts w:ascii="Wingdings 3" w:hAnsi="Wingdings 3" w:hint="default"/>
      </w:rPr>
    </w:lvl>
    <w:lvl w:ilvl="2" w:tplc="D3AC16D6" w:tentative="1">
      <w:start w:val="1"/>
      <w:numFmt w:val="bullet"/>
      <w:lvlText w:val=""/>
      <w:lvlJc w:val="left"/>
      <w:pPr>
        <w:tabs>
          <w:tab w:val="num" w:pos="2160"/>
        </w:tabs>
        <w:ind w:left="2160" w:hanging="360"/>
      </w:pPr>
      <w:rPr>
        <w:rFonts w:ascii="Wingdings 3" w:hAnsi="Wingdings 3" w:hint="default"/>
      </w:rPr>
    </w:lvl>
    <w:lvl w:ilvl="3" w:tplc="8F8C7630" w:tentative="1">
      <w:start w:val="1"/>
      <w:numFmt w:val="bullet"/>
      <w:lvlText w:val=""/>
      <w:lvlJc w:val="left"/>
      <w:pPr>
        <w:tabs>
          <w:tab w:val="num" w:pos="2880"/>
        </w:tabs>
        <w:ind w:left="2880" w:hanging="360"/>
      </w:pPr>
      <w:rPr>
        <w:rFonts w:ascii="Wingdings 3" w:hAnsi="Wingdings 3" w:hint="default"/>
      </w:rPr>
    </w:lvl>
    <w:lvl w:ilvl="4" w:tplc="ACF823F4" w:tentative="1">
      <w:start w:val="1"/>
      <w:numFmt w:val="bullet"/>
      <w:lvlText w:val=""/>
      <w:lvlJc w:val="left"/>
      <w:pPr>
        <w:tabs>
          <w:tab w:val="num" w:pos="3600"/>
        </w:tabs>
        <w:ind w:left="3600" w:hanging="360"/>
      </w:pPr>
      <w:rPr>
        <w:rFonts w:ascii="Wingdings 3" w:hAnsi="Wingdings 3" w:hint="default"/>
      </w:rPr>
    </w:lvl>
    <w:lvl w:ilvl="5" w:tplc="C470931A" w:tentative="1">
      <w:start w:val="1"/>
      <w:numFmt w:val="bullet"/>
      <w:lvlText w:val=""/>
      <w:lvlJc w:val="left"/>
      <w:pPr>
        <w:tabs>
          <w:tab w:val="num" w:pos="4320"/>
        </w:tabs>
        <w:ind w:left="4320" w:hanging="360"/>
      </w:pPr>
      <w:rPr>
        <w:rFonts w:ascii="Wingdings 3" w:hAnsi="Wingdings 3" w:hint="default"/>
      </w:rPr>
    </w:lvl>
    <w:lvl w:ilvl="6" w:tplc="D24C3050" w:tentative="1">
      <w:start w:val="1"/>
      <w:numFmt w:val="bullet"/>
      <w:lvlText w:val=""/>
      <w:lvlJc w:val="left"/>
      <w:pPr>
        <w:tabs>
          <w:tab w:val="num" w:pos="5040"/>
        </w:tabs>
        <w:ind w:left="5040" w:hanging="360"/>
      </w:pPr>
      <w:rPr>
        <w:rFonts w:ascii="Wingdings 3" w:hAnsi="Wingdings 3" w:hint="default"/>
      </w:rPr>
    </w:lvl>
    <w:lvl w:ilvl="7" w:tplc="E0DE67F4" w:tentative="1">
      <w:start w:val="1"/>
      <w:numFmt w:val="bullet"/>
      <w:lvlText w:val=""/>
      <w:lvlJc w:val="left"/>
      <w:pPr>
        <w:tabs>
          <w:tab w:val="num" w:pos="5760"/>
        </w:tabs>
        <w:ind w:left="5760" w:hanging="360"/>
      </w:pPr>
      <w:rPr>
        <w:rFonts w:ascii="Wingdings 3" w:hAnsi="Wingdings 3" w:hint="default"/>
      </w:rPr>
    </w:lvl>
    <w:lvl w:ilvl="8" w:tplc="89FE440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C8811E5"/>
    <w:multiLevelType w:val="hybridMultilevel"/>
    <w:tmpl w:val="678CE3C0"/>
    <w:lvl w:ilvl="0" w:tplc="C2747424">
      <w:start w:val="1"/>
      <w:numFmt w:val="bullet"/>
      <w:lvlText w:val=""/>
      <w:lvlJc w:val="left"/>
      <w:pPr>
        <w:tabs>
          <w:tab w:val="num" w:pos="720"/>
        </w:tabs>
        <w:ind w:left="720" w:hanging="360"/>
      </w:pPr>
      <w:rPr>
        <w:rFonts w:ascii="Wingdings 3" w:hAnsi="Wingdings 3" w:hint="default"/>
      </w:rPr>
    </w:lvl>
    <w:lvl w:ilvl="1" w:tplc="0B7AB30E" w:tentative="1">
      <w:start w:val="1"/>
      <w:numFmt w:val="bullet"/>
      <w:lvlText w:val=""/>
      <w:lvlJc w:val="left"/>
      <w:pPr>
        <w:tabs>
          <w:tab w:val="num" w:pos="1440"/>
        </w:tabs>
        <w:ind w:left="1440" w:hanging="360"/>
      </w:pPr>
      <w:rPr>
        <w:rFonts w:ascii="Wingdings 3" w:hAnsi="Wingdings 3" w:hint="default"/>
      </w:rPr>
    </w:lvl>
    <w:lvl w:ilvl="2" w:tplc="B316012A" w:tentative="1">
      <w:start w:val="1"/>
      <w:numFmt w:val="bullet"/>
      <w:lvlText w:val=""/>
      <w:lvlJc w:val="left"/>
      <w:pPr>
        <w:tabs>
          <w:tab w:val="num" w:pos="2160"/>
        </w:tabs>
        <w:ind w:left="2160" w:hanging="360"/>
      </w:pPr>
      <w:rPr>
        <w:rFonts w:ascii="Wingdings 3" w:hAnsi="Wingdings 3" w:hint="default"/>
      </w:rPr>
    </w:lvl>
    <w:lvl w:ilvl="3" w:tplc="1618E2D6" w:tentative="1">
      <w:start w:val="1"/>
      <w:numFmt w:val="bullet"/>
      <w:lvlText w:val=""/>
      <w:lvlJc w:val="left"/>
      <w:pPr>
        <w:tabs>
          <w:tab w:val="num" w:pos="2880"/>
        </w:tabs>
        <w:ind w:left="2880" w:hanging="360"/>
      </w:pPr>
      <w:rPr>
        <w:rFonts w:ascii="Wingdings 3" w:hAnsi="Wingdings 3" w:hint="default"/>
      </w:rPr>
    </w:lvl>
    <w:lvl w:ilvl="4" w:tplc="C11E2AF8" w:tentative="1">
      <w:start w:val="1"/>
      <w:numFmt w:val="bullet"/>
      <w:lvlText w:val=""/>
      <w:lvlJc w:val="left"/>
      <w:pPr>
        <w:tabs>
          <w:tab w:val="num" w:pos="3600"/>
        </w:tabs>
        <w:ind w:left="3600" w:hanging="360"/>
      </w:pPr>
      <w:rPr>
        <w:rFonts w:ascii="Wingdings 3" w:hAnsi="Wingdings 3" w:hint="default"/>
      </w:rPr>
    </w:lvl>
    <w:lvl w:ilvl="5" w:tplc="CB54C934" w:tentative="1">
      <w:start w:val="1"/>
      <w:numFmt w:val="bullet"/>
      <w:lvlText w:val=""/>
      <w:lvlJc w:val="left"/>
      <w:pPr>
        <w:tabs>
          <w:tab w:val="num" w:pos="4320"/>
        </w:tabs>
        <w:ind w:left="4320" w:hanging="360"/>
      </w:pPr>
      <w:rPr>
        <w:rFonts w:ascii="Wingdings 3" w:hAnsi="Wingdings 3" w:hint="default"/>
      </w:rPr>
    </w:lvl>
    <w:lvl w:ilvl="6" w:tplc="64E4FE56" w:tentative="1">
      <w:start w:val="1"/>
      <w:numFmt w:val="bullet"/>
      <w:lvlText w:val=""/>
      <w:lvlJc w:val="left"/>
      <w:pPr>
        <w:tabs>
          <w:tab w:val="num" w:pos="5040"/>
        </w:tabs>
        <w:ind w:left="5040" w:hanging="360"/>
      </w:pPr>
      <w:rPr>
        <w:rFonts w:ascii="Wingdings 3" w:hAnsi="Wingdings 3" w:hint="default"/>
      </w:rPr>
    </w:lvl>
    <w:lvl w:ilvl="7" w:tplc="CC624B30" w:tentative="1">
      <w:start w:val="1"/>
      <w:numFmt w:val="bullet"/>
      <w:lvlText w:val=""/>
      <w:lvlJc w:val="left"/>
      <w:pPr>
        <w:tabs>
          <w:tab w:val="num" w:pos="5760"/>
        </w:tabs>
        <w:ind w:left="5760" w:hanging="360"/>
      </w:pPr>
      <w:rPr>
        <w:rFonts w:ascii="Wingdings 3" w:hAnsi="Wingdings 3" w:hint="default"/>
      </w:rPr>
    </w:lvl>
    <w:lvl w:ilvl="8" w:tplc="FC4E09AE"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D"/>
    <w:rsid w:val="000E546D"/>
    <w:rsid w:val="001B08A9"/>
    <w:rsid w:val="001B3C9F"/>
    <w:rsid w:val="001E462D"/>
    <w:rsid w:val="00294E95"/>
    <w:rsid w:val="002C08A1"/>
    <w:rsid w:val="004145A0"/>
    <w:rsid w:val="00443033"/>
    <w:rsid w:val="005842BD"/>
    <w:rsid w:val="009B3666"/>
    <w:rsid w:val="009D5F5A"/>
    <w:rsid w:val="009E1479"/>
    <w:rsid w:val="00A57B0F"/>
    <w:rsid w:val="00A7306B"/>
    <w:rsid w:val="00B61051"/>
    <w:rsid w:val="00BA6866"/>
    <w:rsid w:val="00C5632F"/>
    <w:rsid w:val="00DA6BBF"/>
    <w:rsid w:val="00E5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75E68BB-9DA7-4B8A-A454-451D34E6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46D"/>
    <w:rPr>
      <w:color w:val="0563C1" w:themeColor="hyperlink"/>
      <w:u w:val="single"/>
    </w:rPr>
  </w:style>
  <w:style w:type="paragraph" w:styleId="BalloonText">
    <w:name w:val="Balloon Text"/>
    <w:basedOn w:val="Normal"/>
    <w:link w:val="BalloonTextChar"/>
    <w:uiPriority w:val="99"/>
    <w:semiHidden/>
    <w:unhideWhenUsed/>
    <w:rsid w:val="002C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9469">
      <w:bodyDiv w:val="1"/>
      <w:marLeft w:val="0"/>
      <w:marRight w:val="0"/>
      <w:marTop w:val="0"/>
      <w:marBottom w:val="0"/>
      <w:divBdr>
        <w:top w:val="none" w:sz="0" w:space="0" w:color="auto"/>
        <w:left w:val="none" w:sz="0" w:space="0" w:color="auto"/>
        <w:bottom w:val="none" w:sz="0" w:space="0" w:color="auto"/>
        <w:right w:val="none" w:sz="0" w:space="0" w:color="auto"/>
      </w:divBdr>
    </w:div>
    <w:div w:id="1044405334">
      <w:bodyDiv w:val="1"/>
      <w:marLeft w:val="0"/>
      <w:marRight w:val="0"/>
      <w:marTop w:val="0"/>
      <w:marBottom w:val="0"/>
      <w:divBdr>
        <w:top w:val="none" w:sz="0" w:space="0" w:color="auto"/>
        <w:left w:val="none" w:sz="0" w:space="0" w:color="auto"/>
        <w:bottom w:val="none" w:sz="0" w:space="0" w:color="auto"/>
        <w:right w:val="none" w:sz="0" w:space="0" w:color="auto"/>
      </w:divBdr>
    </w:div>
    <w:div w:id="1190604060">
      <w:bodyDiv w:val="1"/>
      <w:marLeft w:val="0"/>
      <w:marRight w:val="0"/>
      <w:marTop w:val="0"/>
      <w:marBottom w:val="0"/>
      <w:divBdr>
        <w:top w:val="none" w:sz="0" w:space="0" w:color="auto"/>
        <w:left w:val="none" w:sz="0" w:space="0" w:color="auto"/>
        <w:bottom w:val="none" w:sz="0" w:space="0" w:color="auto"/>
        <w:right w:val="none" w:sz="0" w:space="0" w:color="auto"/>
      </w:divBdr>
    </w:div>
    <w:div w:id="1637026561">
      <w:bodyDiv w:val="1"/>
      <w:marLeft w:val="0"/>
      <w:marRight w:val="0"/>
      <w:marTop w:val="0"/>
      <w:marBottom w:val="0"/>
      <w:divBdr>
        <w:top w:val="none" w:sz="0" w:space="0" w:color="auto"/>
        <w:left w:val="none" w:sz="0" w:space="0" w:color="auto"/>
        <w:bottom w:val="none" w:sz="0" w:space="0" w:color="auto"/>
        <w:right w:val="none" w:sz="0" w:space="0" w:color="auto"/>
      </w:divBdr>
    </w:div>
    <w:div w:id="1685744679">
      <w:bodyDiv w:val="1"/>
      <w:marLeft w:val="0"/>
      <w:marRight w:val="0"/>
      <w:marTop w:val="0"/>
      <w:marBottom w:val="0"/>
      <w:divBdr>
        <w:top w:val="none" w:sz="0" w:space="0" w:color="auto"/>
        <w:left w:val="none" w:sz="0" w:space="0" w:color="auto"/>
        <w:bottom w:val="none" w:sz="0" w:space="0" w:color="auto"/>
        <w:right w:val="none" w:sz="0" w:space="0" w:color="auto"/>
      </w:divBdr>
    </w:div>
    <w:div w:id="19821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imate.usurf.u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A945-DC22-4E78-80CB-2B5996AC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dc:creator>
  <cp:keywords/>
  <dc:description/>
  <cp:lastModifiedBy>Miriam</cp:lastModifiedBy>
  <cp:revision>2</cp:revision>
  <cp:lastPrinted>2016-05-10T19:13:00Z</cp:lastPrinted>
  <dcterms:created xsi:type="dcterms:W3CDTF">2016-06-21T16:41:00Z</dcterms:created>
  <dcterms:modified xsi:type="dcterms:W3CDTF">2016-06-21T16:41:00Z</dcterms:modified>
</cp:coreProperties>
</file>